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cs="Times New Roman"/>
          <w:sz w:val="18"/>
          <w:szCs w:val="18"/>
        </w:rPr>
      </w:pPr>
      <w:r>
        <w:rPr>
          <w:rFonts w:cs="Times New Roman"/>
          <w:sz w:val="18"/>
          <w:szCs w:val="18"/>
        </w:rPr>
        <w:t xml:space="preserve">Mission: The mission of the Department of </w:t>
      </w:r>
      <w:bookmarkStart w:id="0" w:name="_GoBack"/>
      <w:bookmarkEnd w:id="0"/>
      <w:r>
        <w:rPr>
          <w:rFonts w:cs="Times New Roman"/>
          <w:sz w:val="18"/>
          <w:szCs w:val="18"/>
        </w:rPr>
        <w:t>Business is to graduate excellent students of exemplary character who have a Christian worldview, a global perspective, and a passion to serve Christ in the marketplace and the world.</w:t>
      </w:r>
    </w:p>
    <w:tbl>
      <w:tblPr>
        <w:tblStyle w:val="TableGrid"/>
        <w:tblW w:w="18720" w:type="dxa"/>
        <w:tblInd w:w="-702" w:type="dxa"/>
        <w:tblLayout w:type="fixed"/>
        <w:tblLook w:val="04A0" w:firstRow="1" w:lastRow="0" w:firstColumn="1" w:lastColumn="0" w:noHBand="0" w:noVBand="1"/>
      </w:tblPr>
      <w:tblGrid>
        <w:gridCol w:w="4050"/>
        <w:gridCol w:w="4500"/>
        <w:gridCol w:w="1800"/>
        <w:gridCol w:w="1980"/>
        <w:gridCol w:w="1890"/>
        <w:gridCol w:w="1507"/>
        <w:gridCol w:w="1463"/>
        <w:gridCol w:w="1530"/>
      </w:tblGrid>
      <w:tr>
        <w:trPr>
          <w:tblHeader/>
        </w:trPr>
        <w:tc>
          <w:tcPr>
            <w:tcW w:w="4050" w:type="dxa"/>
            <w:shd w:val="clear" w:color="auto" w:fill="auto"/>
          </w:tcPr>
          <w:p>
            <w:pPr>
              <w:rPr>
                <w:rFonts w:cs="Times New Roman"/>
                <w:b/>
                <w:sz w:val="18"/>
                <w:szCs w:val="18"/>
              </w:rPr>
            </w:pPr>
            <w:r>
              <w:rPr>
                <w:rFonts w:cs="Times New Roman"/>
                <w:b/>
                <w:sz w:val="18"/>
                <w:szCs w:val="18"/>
              </w:rPr>
              <w:t>CWEO Category</w:t>
            </w:r>
          </w:p>
        </w:tc>
        <w:tc>
          <w:tcPr>
            <w:tcW w:w="4500" w:type="dxa"/>
            <w:shd w:val="clear" w:color="auto" w:fill="auto"/>
          </w:tcPr>
          <w:p>
            <w:pPr>
              <w:rPr>
                <w:rFonts w:cs="Times New Roman"/>
                <w:b/>
                <w:sz w:val="18"/>
                <w:szCs w:val="18"/>
              </w:rPr>
            </w:pPr>
            <w:r>
              <w:rPr>
                <w:rFonts w:cs="Times New Roman"/>
                <w:b/>
                <w:sz w:val="18"/>
                <w:szCs w:val="18"/>
              </w:rPr>
              <w:t xml:space="preserve">Student Learning Outcome / Objective </w:t>
            </w:r>
            <w:r>
              <w:rPr>
                <w:rFonts w:cs="Times New Roman"/>
                <w:sz w:val="18"/>
                <w:szCs w:val="18"/>
              </w:rPr>
              <w:t>(Students will demonstrate the ability to +[Bloom’s action verb]+ [something]</w:t>
            </w:r>
          </w:p>
          <w:p>
            <w:pPr>
              <w:rPr>
                <w:rFonts w:cs="Times New Roman"/>
                <w:sz w:val="18"/>
                <w:szCs w:val="18"/>
              </w:rPr>
            </w:pPr>
          </w:p>
        </w:tc>
        <w:tc>
          <w:tcPr>
            <w:tcW w:w="1800" w:type="dxa"/>
            <w:shd w:val="clear" w:color="auto" w:fill="auto"/>
          </w:tcPr>
          <w:p>
            <w:pPr>
              <w:rPr>
                <w:rFonts w:cs="Times New Roman"/>
                <w:b/>
                <w:sz w:val="18"/>
                <w:szCs w:val="18"/>
              </w:rPr>
            </w:pPr>
            <w:r>
              <w:rPr>
                <w:rFonts w:cs="Times New Roman"/>
                <w:b/>
                <w:sz w:val="18"/>
                <w:szCs w:val="18"/>
              </w:rPr>
              <w:t xml:space="preserve">Courses </w:t>
            </w:r>
            <w:r>
              <w:rPr>
                <w:rFonts w:cs="Times New Roman"/>
                <w:sz w:val="18"/>
                <w:szCs w:val="18"/>
              </w:rPr>
              <w:t xml:space="preserve">in which </w:t>
            </w:r>
            <w:r>
              <w:rPr>
                <w:rFonts w:cs="Times New Roman"/>
                <w:b/>
                <w:sz w:val="18"/>
                <w:szCs w:val="18"/>
              </w:rPr>
              <w:t>students receive feedback</w:t>
            </w:r>
            <w:r>
              <w:rPr>
                <w:rFonts w:cs="Times New Roman"/>
                <w:sz w:val="18"/>
                <w:szCs w:val="18"/>
              </w:rPr>
              <w:t xml:space="preserve"> on this learning objective.</w:t>
            </w:r>
          </w:p>
        </w:tc>
        <w:tc>
          <w:tcPr>
            <w:tcW w:w="1980" w:type="dxa"/>
            <w:shd w:val="clear" w:color="auto" w:fill="auto"/>
          </w:tcPr>
          <w:p>
            <w:pPr>
              <w:rPr>
                <w:rFonts w:cs="Times New Roman"/>
                <w:sz w:val="18"/>
                <w:szCs w:val="18"/>
              </w:rPr>
            </w:pPr>
            <w:r>
              <w:rPr>
                <w:rFonts w:cs="Times New Roman"/>
                <w:b/>
                <w:sz w:val="18"/>
                <w:szCs w:val="18"/>
              </w:rPr>
              <w:t>Measure</w:t>
            </w:r>
            <w:r>
              <w:rPr>
                <w:rFonts w:cs="Times New Roman"/>
                <w:sz w:val="18"/>
                <w:szCs w:val="18"/>
              </w:rPr>
              <w:t xml:space="preserve"> (Method to gauge achievement of expected results</w:t>
            </w:r>
          </w:p>
        </w:tc>
        <w:tc>
          <w:tcPr>
            <w:tcW w:w="1890" w:type="dxa"/>
            <w:shd w:val="clear" w:color="auto" w:fill="auto"/>
          </w:tcPr>
          <w:p>
            <w:pPr>
              <w:rPr>
                <w:rFonts w:cs="Times New Roman"/>
                <w:sz w:val="18"/>
                <w:szCs w:val="18"/>
              </w:rPr>
            </w:pPr>
            <w:r>
              <w:rPr>
                <w:rFonts w:cs="Times New Roman"/>
                <w:b/>
                <w:sz w:val="18"/>
                <w:szCs w:val="18"/>
              </w:rPr>
              <w:t>Target</w:t>
            </w:r>
            <w:r>
              <w:rPr>
                <w:rFonts w:cs="Times New Roman"/>
                <w:sz w:val="18"/>
                <w:szCs w:val="18"/>
              </w:rPr>
              <w:t xml:space="preserve"> (Overall level for satisfactory performance)</w:t>
            </w:r>
          </w:p>
        </w:tc>
        <w:tc>
          <w:tcPr>
            <w:tcW w:w="1507" w:type="dxa"/>
            <w:shd w:val="clear" w:color="auto" w:fill="auto"/>
          </w:tcPr>
          <w:p>
            <w:pPr>
              <w:rPr>
                <w:rFonts w:cs="Times New Roman"/>
                <w:sz w:val="18"/>
                <w:szCs w:val="18"/>
              </w:rPr>
            </w:pPr>
            <w:r>
              <w:rPr>
                <w:rFonts w:cs="Times New Roman"/>
                <w:b/>
                <w:sz w:val="18"/>
                <w:szCs w:val="18"/>
              </w:rPr>
              <w:t xml:space="preserve">Timeline </w:t>
            </w:r>
            <w:r>
              <w:rPr>
                <w:rFonts w:cs="Times New Roman"/>
                <w:sz w:val="18"/>
                <w:szCs w:val="18"/>
              </w:rPr>
              <w:t>(How often will data be collected?)</w:t>
            </w:r>
          </w:p>
        </w:tc>
        <w:tc>
          <w:tcPr>
            <w:tcW w:w="1463" w:type="dxa"/>
            <w:shd w:val="clear" w:color="auto" w:fill="auto"/>
          </w:tcPr>
          <w:p>
            <w:pPr>
              <w:rPr>
                <w:rFonts w:cs="Times New Roman"/>
                <w:sz w:val="18"/>
                <w:szCs w:val="18"/>
              </w:rPr>
            </w:pPr>
            <w:r>
              <w:rPr>
                <w:rFonts w:cs="Times New Roman"/>
                <w:b/>
                <w:sz w:val="18"/>
                <w:szCs w:val="18"/>
              </w:rPr>
              <w:t>Finding</w:t>
            </w:r>
            <w:r>
              <w:rPr>
                <w:rFonts w:cs="Times New Roman"/>
                <w:sz w:val="18"/>
                <w:szCs w:val="18"/>
              </w:rPr>
              <w:t xml:space="preserve"> (Assessment results)</w:t>
            </w:r>
          </w:p>
        </w:tc>
        <w:tc>
          <w:tcPr>
            <w:tcW w:w="1530" w:type="dxa"/>
            <w:shd w:val="clear" w:color="auto" w:fill="auto"/>
          </w:tcPr>
          <w:p>
            <w:pPr>
              <w:rPr>
                <w:rFonts w:cs="Times New Roman"/>
                <w:b/>
                <w:sz w:val="18"/>
                <w:szCs w:val="18"/>
              </w:rPr>
            </w:pPr>
            <w:r>
              <w:rPr>
                <w:rFonts w:cs="Times New Roman"/>
                <w:b/>
                <w:sz w:val="18"/>
                <w:szCs w:val="18"/>
              </w:rPr>
              <w:t>Action Plan</w:t>
            </w:r>
            <w:r>
              <w:rPr>
                <w:rFonts w:cs="Times New Roman"/>
                <w:sz w:val="18"/>
                <w:szCs w:val="18"/>
              </w:rPr>
              <w:t xml:space="preserve"> (Based on the findings, what do you plan to do?)</w:t>
            </w:r>
          </w:p>
        </w:tc>
      </w:tr>
      <w:tr>
        <w:tc>
          <w:tcPr>
            <w:tcW w:w="4050" w:type="dxa"/>
            <w:shd w:val="clear" w:color="auto" w:fill="auto"/>
          </w:tcPr>
          <w:p>
            <w:pPr>
              <w:rPr>
                <w:rFonts w:cs="Times New Roman"/>
                <w:sz w:val="18"/>
                <w:szCs w:val="18"/>
              </w:rPr>
            </w:pPr>
            <w:r>
              <w:rPr>
                <w:rFonts w:cs="Times New Roman"/>
                <w:b/>
                <w:sz w:val="18"/>
                <w:szCs w:val="18"/>
              </w:rPr>
              <w:t>2. Breadth and depth of knowledge:</w:t>
            </w:r>
            <w:r>
              <w:rPr>
                <w:rFonts w:cs="Times New Roman"/>
                <w:sz w:val="18"/>
                <w:szCs w:val="18"/>
              </w:rPr>
              <w:t xml:space="preserve"> Students will develop knowledge common to the liberal arts and sciences in the fields of arts, humanities, natural sciences, and social sciences. Students will also develop specialized knowledge and disciplinary expertise</w:t>
            </w:r>
          </w:p>
        </w:tc>
        <w:tc>
          <w:tcPr>
            <w:tcW w:w="4500" w:type="dxa"/>
            <w:shd w:val="clear" w:color="auto" w:fill="auto"/>
          </w:tcPr>
          <w:p>
            <w:pPr>
              <w:spacing w:line="240" w:lineRule="exact"/>
              <w:rPr>
                <w:rFonts w:cs="Times New Roman"/>
                <w:sz w:val="18"/>
                <w:szCs w:val="18"/>
              </w:rPr>
            </w:pPr>
            <w:r>
              <w:rPr>
                <w:rFonts w:cs="Times New Roman"/>
                <w:sz w:val="18"/>
                <w:szCs w:val="18"/>
              </w:rPr>
              <w:t>Students will recognize how accounting aids in planning and policy-making, basic terminology used in the internal revenue code and regulations along with Auditing philosophy, standards, and environment.</w:t>
            </w:r>
          </w:p>
        </w:tc>
        <w:tc>
          <w:tcPr>
            <w:tcW w:w="1800" w:type="dxa"/>
            <w:shd w:val="clear" w:color="auto" w:fill="auto"/>
          </w:tcPr>
          <w:p>
            <w:pPr>
              <w:rPr>
                <w:rFonts w:cs="Times New Roman"/>
                <w:sz w:val="18"/>
                <w:szCs w:val="18"/>
              </w:rPr>
            </w:pPr>
            <w:r>
              <w:rPr>
                <w:rFonts w:cs="Times New Roman"/>
                <w:sz w:val="18"/>
                <w:szCs w:val="18"/>
              </w:rPr>
              <w:t>ACCT 141, 242, 301, 302, 303, 343, 347, 440, 442</w:t>
            </w:r>
          </w:p>
        </w:tc>
        <w:tc>
          <w:tcPr>
            <w:tcW w:w="1980" w:type="dxa"/>
            <w:shd w:val="clear" w:color="auto" w:fill="auto"/>
          </w:tcPr>
          <w:p>
            <w:pPr>
              <w:rPr>
                <w:rFonts w:cs="Times New Roman"/>
                <w:sz w:val="18"/>
                <w:szCs w:val="18"/>
              </w:rPr>
            </w:pPr>
            <w:r>
              <w:rPr>
                <w:rFonts w:cs="Times New Roman"/>
                <w:sz w:val="18"/>
                <w:szCs w:val="18"/>
              </w:rPr>
              <w:t>CPA Exam</w:t>
            </w:r>
          </w:p>
        </w:tc>
        <w:tc>
          <w:tcPr>
            <w:tcW w:w="1890" w:type="dxa"/>
            <w:shd w:val="clear" w:color="auto" w:fill="auto"/>
          </w:tcPr>
          <w:p>
            <w:pPr>
              <w:rPr>
                <w:rFonts w:cs="Times New Roman"/>
                <w:sz w:val="18"/>
                <w:szCs w:val="18"/>
              </w:rPr>
            </w:pPr>
            <w:r>
              <w:rPr>
                <w:rFonts w:cs="Times New Roman"/>
                <w:sz w:val="18"/>
                <w:szCs w:val="18"/>
              </w:rPr>
              <w:t>Place in the top 10 of PA schools reporting for the year for students’ percentage of parts passed</w:t>
            </w:r>
          </w:p>
        </w:tc>
        <w:tc>
          <w:tcPr>
            <w:tcW w:w="1507" w:type="dxa"/>
            <w:shd w:val="clear" w:color="auto" w:fill="auto"/>
          </w:tcPr>
          <w:p>
            <w:pPr>
              <w:rPr>
                <w:rFonts w:cs="Times New Roman"/>
                <w:sz w:val="18"/>
                <w:szCs w:val="18"/>
              </w:rPr>
            </w:pPr>
            <w:r>
              <w:rPr>
                <w:rFonts w:cs="Times New Roman"/>
                <w:sz w:val="18"/>
                <w:szCs w:val="18"/>
              </w:rPr>
              <w:t>Data collected every year, assessed every other year</w:t>
            </w:r>
          </w:p>
        </w:tc>
        <w:tc>
          <w:tcPr>
            <w:tcW w:w="1463" w:type="dxa"/>
            <w:shd w:val="clear" w:color="auto" w:fill="auto"/>
          </w:tcPr>
          <w:p>
            <w:pPr>
              <w:rPr>
                <w:rFonts w:cs="Times New Roman"/>
                <w:sz w:val="18"/>
                <w:szCs w:val="18"/>
              </w:rPr>
            </w:pPr>
            <w:r>
              <w:rPr>
                <w:rFonts w:cs="Times New Roman"/>
                <w:sz w:val="18"/>
                <w:szCs w:val="18"/>
              </w:rPr>
              <w:t xml:space="preserve">See WEAVE </w:t>
            </w:r>
          </w:p>
        </w:tc>
        <w:tc>
          <w:tcPr>
            <w:tcW w:w="1530" w:type="dxa"/>
            <w:shd w:val="clear" w:color="auto" w:fill="auto"/>
          </w:tcPr>
          <w:p>
            <w:pPr>
              <w:rPr>
                <w:rFonts w:cs="Times New Roman"/>
                <w:sz w:val="18"/>
                <w:szCs w:val="18"/>
              </w:rPr>
            </w:pPr>
            <w:r>
              <w:rPr>
                <w:rFonts w:cs="Times New Roman"/>
                <w:sz w:val="18"/>
                <w:szCs w:val="18"/>
              </w:rPr>
              <w:t>See WEAVE</w:t>
            </w:r>
          </w:p>
        </w:tc>
      </w:tr>
      <w:tr>
        <w:tc>
          <w:tcPr>
            <w:tcW w:w="4050" w:type="dxa"/>
            <w:shd w:val="clear" w:color="auto" w:fill="auto"/>
          </w:tcPr>
          <w:p>
            <w:pPr>
              <w:rPr>
                <w:rFonts w:cs="Times New Roman"/>
                <w:b/>
                <w:sz w:val="18"/>
                <w:szCs w:val="18"/>
              </w:rPr>
            </w:pPr>
          </w:p>
        </w:tc>
        <w:tc>
          <w:tcPr>
            <w:tcW w:w="4500" w:type="dxa"/>
            <w:shd w:val="clear" w:color="auto" w:fill="auto"/>
          </w:tcPr>
          <w:p>
            <w:pPr>
              <w:rPr>
                <w:rFonts w:cs="Times New Roman"/>
                <w:sz w:val="18"/>
                <w:szCs w:val="18"/>
                <w:highlight w:val="yellow"/>
              </w:rPr>
            </w:pPr>
            <w:r>
              <w:rPr>
                <w:rFonts w:cs="Times New Roman"/>
                <w:sz w:val="18"/>
                <w:szCs w:val="18"/>
                <w:highlight w:val="yellow"/>
              </w:rPr>
              <w:t>Students will applying how accounting aids in planning and policy-making, basic terminology used in the internal revenue code and regulations along with Auditing philosophy, standards, and environment.</w:t>
            </w:r>
          </w:p>
        </w:tc>
        <w:tc>
          <w:tcPr>
            <w:tcW w:w="1800" w:type="dxa"/>
            <w:shd w:val="clear" w:color="auto" w:fill="auto"/>
          </w:tcPr>
          <w:p>
            <w:pPr>
              <w:rPr>
                <w:rFonts w:cs="Times New Roman"/>
                <w:sz w:val="18"/>
                <w:szCs w:val="18"/>
                <w:highlight w:val="yellow"/>
              </w:rPr>
            </w:pPr>
            <w:r>
              <w:rPr>
                <w:rFonts w:cs="Times New Roman"/>
                <w:sz w:val="18"/>
                <w:szCs w:val="18"/>
                <w:highlight w:val="yellow"/>
              </w:rPr>
              <w:t>ACCT347</w:t>
            </w:r>
          </w:p>
        </w:tc>
        <w:tc>
          <w:tcPr>
            <w:tcW w:w="1980" w:type="dxa"/>
            <w:shd w:val="clear" w:color="auto" w:fill="auto"/>
          </w:tcPr>
          <w:p>
            <w:pPr>
              <w:rPr>
                <w:rFonts w:cs="Times New Roman"/>
                <w:sz w:val="18"/>
                <w:szCs w:val="18"/>
                <w:highlight w:val="yellow"/>
              </w:rPr>
            </w:pPr>
            <w:r>
              <w:rPr>
                <w:rFonts w:cs="Times New Roman"/>
                <w:sz w:val="18"/>
                <w:szCs w:val="18"/>
                <w:highlight w:val="yellow"/>
              </w:rPr>
              <w:t>Third Tax Return</w:t>
            </w:r>
          </w:p>
        </w:tc>
        <w:tc>
          <w:tcPr>
            <w:tcW w:w="1890" w:type="dxa"/>
            <w:shd w:val="clear" w:color="auto" w:fill="auto"/>
          </w:tcPr>
          <w:p>
            <w:pPr>
              <w:rPr>
                <w:rFonts w:cs="Times New Roman"/>
                <w:sz w:val="18"/>
                <w:szCs w:val="18"/>
                <w:highlight w:val="yellow"/>
              </w:rPr>
            </w:pPr>
            <w:r>
              <w:rPr>
                <w:rFonts w:cs="Times New Roman"/>
                <w:sz w:val="18"/>
                <w:szCs w:val="18"/>
                <w:highlight w:val="yellow"/>
              </w:rPr>
              <w:t>75% received an 85% or above on the third tax return.</w:t>
            </w:r>
          </w:p>
        </w:tc>
        <w:tc>
          <w:tcPr>
            <w:tcW w:w="1507" w:type="dxa"/>
            <w:shd w:val="clear" w:color="auto" w:fill="auto"/>
          </w:tcPr>
          <w:p>
            <w:pPr>
              <w:rPr>
                <w:rFonts w:cs="Times New Roman"/>
                <w:sz w:val="18"/>
                <w:szCs w:val="18"/>
                <w:highlight w:val="yellow"/>
              </w:rPr>
            </w:pPr>
            <w:r>
              <w:rPr>
                <w:rFonts w:cs="Times New Roman"/>
                <w:sz w:val="18"/>
                <w:szCs w:val="18"/>
                <w:highlight w:val="yellow"/>
              </w:rPr>
              <w:t>Data collected every year, assessed every other year</w:t>
            </w:r>
          </w:p>
        </w:tc>
        <w:tc>
          <w:tcPr>
            <w:tcW w:w="1463" w:type="dxa"/>
            <w:shd w:val="clear" w:color="auto" w:fill="auto"/>
          </w:tcPr>
          <w:p>
            <w:pPr>
              <w:rPr>
                <w:rFonts w:cs="Times New Roman"/>
                <w:sz w:val="18"/>
                <w:szCs w:val="18"/>
                <w:highlight w:val="yellow"/>
              </w:rPr>
            </w:pPr>
            <w:r>
              <w:rPr>
                <w:rFonts w:cs="Times New Roman"/>
                <w:sz w:val="18"/>
                <w:szCs w:val="18"/>
                <w:highlight w:val="yellow"/>
              </w:rPr>
              <w:t>See WEAVE</w:t>
            </w:r>
          </w:p>
        </w:tc>
        <w:tc>
          <w:tcPr>
            <w:tcW w:w="1530" w:type="dxa"/>
            <w:shd w:val="clear" w:color="auto" w:fill="auto"/>
          </w:tcPr>
          <w:p>
            <w:pPr>
              <w:rPr>
                <w:rFonts w:cs="Times New Roman"/>
                <w:sz w:val="18"/>
                <w:szCs w:val="18"/>
                <w:highlight w:val="yellow"/>
              </w:rPr>
            </w:pPr>
            <w:r>
              <w:rPr>
                <w:rFonts w:cs="Times New Roman"/>
                <w:sz w:val="18"/>
                <w:szCs w:val="18"/>
                <w:highlight w:val="yellow"/>
              </w:rPr>
              <w:t>See WEAVE</w:t>
            </w:r>
          </w:p>
        </w:tc>
      </w:tr>
      <w:tr>
        <w:tc>
          <w:tcPr>
            <w:tcW w:w="4050" w:type="dxa"/>
            <w:shd w:val="clear" w:color="auto" w:fill="auto"/>
          </w:tcPr>
          <w:p>
            <w:pPr>
              <w:rPr>
                <w:rFonts w:cs="Times New Roman"/>
                <w:b/>
                <w:sz w:val="18"/>
                <w:szCs w:val="18"/>
              </w:rPr>
            </w:pPr>
          </w:p>
        </w:tc>
        <w:tc>
          <w:tcPr>
            <w:tcW w:w="4500" w:type="dxa"/>
            <w:shd w:val="clear" w:color="auto" w:fill="auto"/>
          </w:tcPr>
          <w:p>
            <w:pPr>
              <w:rPr>
                <w:rFonts w:cs="Times New Roman"/>
                <w:sz w:val="18"/>
                <w:szCs w:val="18"/>
                <w:highlight w:val="yellow"/>
              </w:rPr>
            </w:pPr>
            <w:r>
              <w:rPr>
                <w:rFonts w:cs="Times New Roman"/>
                <w:sz w:val="18"/>
                <w:szCs w:val="18"/>
                <w:highlight w:val="yellow"/>
              </w:rPr>
              <w:t>Students will demonsrate how accounting aids in planning and policy-making, basic terminology used in the internal revenue code and regulations along with Auditing philosophy, standards, and environment.</w:t>
            </w:r>
          </w:p>
        </w:tc>
        <w:tc>
          <w:tcPr>
            <w:tcW w:w="1800" w:type="dxa"/>
            <w:shd w:val="clear" w:color="auto" w:fill="auto"/>
          </w:tcPr>
          <w:p>
            <w:pPr>
              <w:rPr>
                <w:rFonts w:cs="Times New Roman"/>
                <w:sz w:val="18"/>
                <w:szCs w:val="18"/>
                <w:highlight w:val="yellow"/>
              </w:rPr>
            </w:pPr>
            <w:r>
              <w:rPr>
                <w:rFonts w:cs="Times New Roman"/>
                <w:sz w:val="18"/>
                <w:szCs w:val="18"/>
                <w:highlight w:val="yellow"/>
              </w:rPr>
              <w:t>ACCT442</w:t>
            </w:r>
          </w:p>
        </w:tc>
        <w:tc>
          <w:tcPr>
            <w:tcW w:w="1980" w:type="dxa"/>
            <w:shd w:val="clear" w:color="auto" w:fill="auto"/>
          </w:tcPr>
          <w:p>
            <w:pPr>
              <w:rPr>
                <w:rFonts w:cs="Times New Roman"/>
                <w:sz w:val="18"/>
                <w:szCs w:val="18"/>
                <w:highlight w:val="yellow"/>
              </w:rPr>
            </w:pPr>
            <w:r>
              <w:rPr>
                <w:rFonts w:cs="Times New Roman"/>
                <w:sz w:val="18"/>
                <w:szCs w:val="18"/>
                <w:highlight w:val="yellow"/>
              </w:rPr>
              <w:t>Comprehensive final exam</w:t>
            </w:r>
          </w:p>
        </w:tc>
        <w:tc>
          <w:tcPr>
            <w:tcW w:w="1890" w:type="dxa"/>
            <w:shd w:val="clear" w:color="auto" w:fill="auto"/>
          </w:tcPr>
          <w:p>
            <w:pPr>
              <w:rPr>
                <w:rFonts w:cs="Times New Roman"/>
                <w:sz w:val="18"/>
                <w:szCs w:val="18"/>
                <w:highlight w:val="yellow"/>
              </w:rPr>
            </w:pPr>
            <w:r>
              <w:rPr>
                <w:rFonts w:cs="Times New Roman"/>
                <w:sz w:val="18"/>
                <w:szCs w:val="18"/>
                <w:highlight w:val="yellow"/>
              </w:rPr>
              <w:t>75% received an 85% or above on a comprehensive final.</w:t>
            </w:r>
          </w:p>
        </w:tc>
        <w:tc>
          <w:tcPr>
            <w:tcW w:w="1507" w:type="dxa"/>
            <w:shd w:val="clear" w:color="auto" w:fill="auto"/>
          </w:tcPr>
          <w:p>
            <w:pPr>
              <w:rPr>
                <w:rFonts w:cs="Times New Roman"/>
                <w:sz w:val="18"/>
                <w:szCs w:val="18"/>
                <w:highlight w:val="yellow"/>
              </w:rPr>
            </w:pPr>
            <w:r>
              <w:rPr>
                <w:rFonts w:cs="Times New Roman"/>
                <w:sz w:val="18"/>
                <w:szCs w:val="18"/>
                <w:highlight w:val="yellow"/>
              </w:rPr>
              <w:t>Data collected every year, assessed every other year</w:t>
            </w:r>
          </w:p>
        </w:tc>
        <w:tc>
          <w:tcPr>
            <w:tcW w:w="1463" w:type="dxa"/>
            <w:shd w:val="clear" w:color="auto" w:fill="auto"/>
          </w:tcPr>
          <w:p>
            <w:pPr>
              <w:rPr>
                <w:rFonts w:cs="Times New Roman"/>
                <w:sz w:val="18"/>
                <w:szCs w:val="18"/>
                <w:highlight w:val="yellow"/>
              </w:rPr>
            </w:pPr>
            <w:r>
              <w:rPr>
                <w:rFonts w:cs="Times New Roman"/>
                <w:sz w:val="18"/>
                <w:szCs w:val="18"/>
                <w:highlight w:val="yellow"/>
              </w:rPr>
              <w:t xml:space="preserve">See WEAVE </w:t>
            </w:r>
          </w:p>
        </w:tc>
        <w:tc>
          <w:tcPr>
            <w:tcW w:w="1530" w:type="dxa"/>
            <w:shd w:val="clear" w:color="auto" w:fill="auto"/>
          </w:tcPr>
          <w:p>
            <w:pPr>
              <w:rPr>
                <w:rFonts w:cs="Times New Roman"/>
                <w:sz w:val="18"/>
                <w:szCs w:val="18"/>
                <w:highlight w:val="yellow"/>
              </w:rPr>
            </w:pPr>
            <w:r>
              <w:rPr>
                <w:rFonts w:cs="Times New Roman"/>
                <w:sz w:val="18"/>
                <w:szCs w:val="18"/>
                <w:highlight w:val="yellow"/>
              </w:rPr>
              <w:t>See WEAVE</w:t>
            </w:r>
          </w:p>
        </w:tc>
      </w:tr>
      <w:tr>
        <w:tc>
          <w:tcPr>
            <w:tcW w:w="4050" w:type="dxa"/>
          </w:tcPr>
          <w:p>
            <w:pPr>
              <w:pStyle w:val="TableParagraph"/>
              <w:ind w:right="93"/>
              <w:rPr>
                <w:rFonts w:ascii="Times New Roman" w:hAnsi="Times New Roman" w:cs="Times New Roman"/>
                <w:b/>
                <w:sz w:val="18"/>
                <w:szCs w:val="18"/>
                <w:u w:val="single"/>
              </w:rPr>
            </w:pPr>
            <w:r>
              <w:rPr>
                <w:rFonts w:ascii="Times New Roman" w:hAnsi="Times New Roman" w:cs="Times New Roman"/>
                <w:b/>
                <w:bCs/>
                <w:sz w:val="18"/>
                <w:szCs w:val="18"/>
              </w:rPr>
              <w:t>2.</w:t>
            </w:r>
            <w:r>
              <w:rPr>
                <w:rFonts w:ascii="Times New Roman" w:hAnsi="Times New Roman" w:cs="Times New Roman"/>
                <w:b/>
                <w:bCs/>
                <w:sz w:val="18"/>
                <w:szCs w:val="18"/>
                <w:u w:val="single"/>
              </w:rPr>
              <w:t xml:space="preserve"> Breadth and depth of knowledge:</w:t>
            </w:r>
            <w:r>
              <w:rPr>
                <w:rFonts w:ascii="Times New Roman" w:hAnsi="Times New Roman" w:cs="Times New Roman"/>
                <w:b/>
                <w:bCs/>
                <w:sz w:val="18"/>
                <w:szCs w:val="18"/>
              </w:rPr>
              <w:t xml:space="preserve"> </w:t>
            </w:r>
            <w:r>
              <w:rPr>
                <w:rFonts w:ascii="Times New Roman" w:hAnsi="Times New Roman" w:cs="Times New Roman"/>
                <w:b/>
                <w:bCs/>
                <w:sz w:val="18"/>
                <w:szCs w:val="18"/>
              </w:rPr>
              <w:br/>
              <w:t xml:space="preserve">   </w:t>
            </w:r>
            <w:r>
              <w:rPr>
                <w:rFonts w:ascii="Times New Roman" w:hAnsi="Times New Roman" w:cs="Times New Roman"/>
                <w:bCs/>
                <w:sz w:val="18"/>
                <w:szCs w:val="18"/>
              </w:rPr>
              <w:t>(continued)</w:t>
            </w:r>
          </w:p>
        </w:tc>
        <w:tc>
          <w:tcPr>
            <w:tcW w:w="4500" w:type="dxa"/>
          </w:tcPr>
          <w:p>
            <w:pPr>
              <w:pStyle w:val="TableParagraph"/>
              <w:ind w:right="85"/>
              <w:rPr>
                <w:rFonts w:ascii="Times New Roman" w:hAnsi="Times New Roman" w:cs="Times New Roman"/>
                <w:sz w:val="18"/>
                <w:szCs w:val="18"/>
              </w:rPr>
            </w:pPr>
            <w:r>
              <w:rPr>
                <w:rFonts w:ascii="Times New Roman" w:hAnsi="Times New Roman" w:cs="Times New Roman"/>
                <w:sz w:val="18"/>
                <w:szCs w:val="18"/>
              </w:rPr>
              <w:t xml:space="preserve">A second &amp; third measure is utilized in the CORE </w:t>
            </w:r>
          </w:p>
          <w:p>
            <w:pPr>
              <w:pStyle w:val="TableParagraph"/>
              <w:numPr>
                <w:ilvl w:val="0"/>
                <w:numId w:val="3"/>
              </w:numPr>
              <w:ind w:right="85"/>
              <w:rPr>
                <w:rFonts w:ascii="Times New Roman" w:hAnsi="Times New Roman" w:cs="Times New Roman"/>
                <w:sz w:val="18"/>
                <w:szCs w:val="18"/>
              </w:rPr>
            </w:pPr>
            <w:r>
              <w:rPr>
                <w:rFonts w:ascii="Times New Roman" w:hAnsi="Times New Roman" w:cs="Times New Roman"/>
                <w:sz w:val="18"/>
                <w:szCs w:val="18"/>
              </w:rPr>
              <w:t xml:space="preserve">One is assessed in major field test; </w:t>
            </w:r>
          </w:p>
          <w:p>
            <w:pPr>
              <w:pStyle w:val="TableParagraph"/>
              <w:numPr>
                <w:ilvl w:val="0"/>
                <w:numId w:val="3"/>
              </w:numPr>
              <w:ind w:right="85"/>
              <w:rPr>
                <w:rFonts w:ascii="Times New Roman" w:hAnsi="Times New Roman" w:cs="Times New Roman"/>
                <w:sz w:val="18"/>
                <w:szCs w:val="18"/>
              </w:rPr>
            </w:pPr>
            <w:r>
              <w:rPr>
                <w:rFonts w:ascii="Times New Roman" w:hAnsi="Times New Roman" w:cs="Times New Roman"/>
                <w:sz w:val="18"/>
                <w:szCs w:val="18"/>
              </w:rPr>
              <w:t>Second is a marketing assessment given in MRKT 130</w:t>
            </w:r>
          </w:p>
        </w:tc>
        <w:tc>
          <w:tcPr>
            <w:tcW w:w="1800" w:type="dxa"/>
          </w:tcPr>
          <w:p>
            <w:pPr>
              <w:pStyle w:val="TableParagraph"/>
              <w:spacing w:line="223" w:lineRule="exact"/>
              <w:ind w:left="100"/>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980" w:type="dxa"/>
          </w:tcPr>
          <w:p>
            <w:pPr>
              <w:pStyle w:val="TableParagraph"/>
              <w:spacing w:line="223" w:lineRule="exact"/>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890" w:type="dxa"/>
          </w:tcPr>
          <w:p>
            <w:pPr>
              <w:pStyle w:val="TableParagraph"/>
              <w:ind w:left="100" w:right="371"/>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507" w:type="dxa"/>
            <w:shd w:val="clear" w:color="auto" w:fill="auto"/>
          </w:tcPr>
          <w:p>
            <w:pPr>
              <w:rPr>
                <w:rFonts w:cs="Times New Roman"/>
                <w:sz w:val="18"/>
                <w:szCs w:val="18"/>
                <w:highlight w:val="yellow"/>
              </w:rPr>
            </w:pPr>
          </w:p>
        </w:tc>
        <w:tc>
          <w:tcPr>
            <w:tcW w:w="1463" w:type="dxa"/>
            <w:shd w:val="clear" w:color="auto" w:fill="auto"/>
          </w:tcPr>
          <w:p>
            <w:pPr>
              <w:rPr>
                <w:rFonts w:cs="Times New Roman"/>
                <w:sz w:val="18"/>
                <w:szCs w:val="18"/>
              </w:rPr>
            </w:pPr>
            <w:r>
              <w:rPr>
                <w:rFonts w:cs="Times New Roman"/>
                <w:sz w:val="18"/>
                <w:szCs w:val="18"/>
              </w:rPr>
              <w:t>See WEAVE</w:t>
            </w:r>
          </w:p>
        </w:tc>
        <w:tc>
          <w:tcPr>
            <w:tcW w:w="1530" w:type="dxa"/>
            <w:shd w:val="clear" w:color="auto" w:fill="auto"/>
          </w:tcPr>
          <w:p>
            <w:pPr>
              <w:rPr>
                <w:rFonts w:cs="Times New Roman"/>
                <w:sz w:val="18"/>
                <w:szCs w:val="18"/>
              </w:rPr>
            </w:pPr>
            <w:r>
              <w:rPr>
                <w:rFonts w:cs="Times New Roman"/>
                <w:sz w:val="18"/>
                <w:szCs w:val="18"/>
              </w:rPr>
              <w:t>See WEAVE</w:t>
            </w:r>
          </w:p>
        </w:tc>
      </w:tr>
      <w:tr>
        <w:tc>
          <w:tcPr>
            <w:tcW w:w="4050" w:type="dxa"/>
          </w:tcPr>
          <w:p>
            <w:pPr>
              <w:pStyle w:val="TableParagraph"/>
              <w:ind w:right="123"/>
              <w:rPr>
                <w:rFonts w:ascii="Times New Roman" w:hAnsi="Times New Roman" w:cs="Times New Roman"/>
                <w:sz w:val="18"/>
                <w:szCs w:val="18"/>
              </w:rPr>
            </w:pPr>
            <w:r>
              <w:rPr>
                <w:rFonts w:ascii="Times New Roman" w:hAnsi="Times New Roman" w:cs="Times New Roman"/>
                <w:b/>
                <w:sz w:val="18"/>
                <w:szCs w:val="18"/>
              </w:rPr>
              <w:t>3.</w:t>
            </w:r>
            <w:r>
              <w:rPr>
                <w:rFonts w:ascii="Times New Roman" w:hAnsi="Times New Roman" w:cs="Times New Roman"/>
                <w:b/>
                <w:sz w:val="18"/>
                <w:szCs w:val="18"/>
                <w:u w:val="single"/>
              </w:rPr>
              <w:t xml:space="preserve"> Faith knowledge &amp; application:</w:t>
            </w:r>
            <w:r>
              <w:rPr>
                <w:rFonts w:ascii="Times New Roman" w:hAnsi="Times New Roman" w:cs="Times New Roman"/>
                <w:b/>
                <w:sz w:val="18"/>
                <w:szCs w:val="18"/>
              </w:rPr>
              <w:t xml:space="preserve"> </w:t>
            </w:r>
            <w:r>
              <w:rPr>
                <w:rFonts w:ascii="Times New Roman" w:hAnsi="Times New Roman" w:cs="Times New Roman"/>
                <w:sz w:val="18"/>
                <w:szCs w:val="18"/>
              </w:rPr>
              <w:t>Students will develop informed and mature convictions about Christian faith and practice</w:t>
            </w:r>
          </w:p>
        </w:tc>
        <w:tc>
          <w:tcPr>
            <w:tcW w:w="4500" w:type="dxa"/>
          </w:tcPr>
          <w:p>
            <w:pPr>
              <w:pStyle w:val="TableParagraph"/>
              <w:spacing w:line="223" w:lineRule="exact"/>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800" w:type="dxa"/>
          </w:tcPr>
          <w:p>
            <w:pPr>
              <w:pStyle w:val="TableParagraph"/>
              <w:spacing w:line="223" w:lineRule="exact"/>
              <w:ind w:left="100"/>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980" w:type="dxa"/>
          </w:tcPr>
          <w:p>
            <w:pPr>
              <w:pStyle w:val="TableParagraph"/>
              <w:spacing w:line="223" w:lineRule="exact"/>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890" w:type="dxa"/>
          </w:tcPr>
          <w:p>
            <w:pPr>
              <w:pStyle w:val="TableParagraph"/>
              <w:ind w:left="100" w:right="371"/>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507" w:type="dxa"/>
            <w:shd w:val="clear" w:color="auto" w:fill="auto"/>
          </w:tcPr>
          <w:p>
            <w:pPr>
              <w:rPr>
                <w:rFonts w:cs="Times New Roman"/>
                <w:sz w:val="18"/>
                <w:szCs w:val="18"/>
                <w:highlight w:val="yellow"/>
              </w:rPr>
            </w:pPr>
          </w:p>
        </w:tc>
        <w:tc>
          <w:tcPr>
            <w:tcW w:w="1463" w:type="dxa"/>
            <w:shd w:val="clear" w:color="auto" w:fill="auto"/>
          </w:tcPr>
          <w:p>
            <w:pPr>
              <w:rPr>
                <w:rFonts w:cs="Times New Roman"/>
                <w:sz w:val="18"/>
                <w:szCs w:val="18"/>
              </w:rPr>
            </w:pPr>
            <w:r>
              <w:rPr>
                <w:rFonts w:cs="Times New Roman"/>
                <w:sz w:val="18"/>
                <w:szCs w:val="18"/>
              </w:rPr>
              <w:t xml:space="preserve">See WEAVE </w:t>
            </w:r>
          </w:p>
        </w:tc>
        <w:tc>
          <w:tcPr>
            <w:tcW w:w="1530" w:type="dxa"/>
            <w:shd w:val="clear" w:color="auto" w:fill="auto"/>
          </w:tcPr>
          <w:p>
            <w:pPr>
              <w:rPr>
                <w:rFonts w:cs="Times New Roman"/>
                <w:sz w:val="18"/>
                <w:szCs w:val="18"/>
              </w:rPr>
            </w:pPr>
            <w:r>
              <w:rPr>
                <w:rFonts w:cs="Times New Roman"/>
                <w:sz w:val="18"/>
                <w:szCs w:val="18"/>
              </w:rPr>
              <w:t>See WEAVE</w:t>
            </w:r>
          </w:p>
        </w:tc>
      </w:tr>
      <w:tr>
        <w:tc>
          <w:tcPr>
            <w:tcW w:w="4050" w:type="dxa"/>
            <w:shd w:val="clear" w:color="auto" w:fill="auto"/>
          </w:tcPr>
          <w:p>
            <w:pPr>
              <w:rPr>
                <w:rFonts w:cs="Times New Roman"/>
                <w:sz w:val="18"/>
                <w:szCs w:val="18"/>
              </w:rPr>
            </w:pPr>
            <w:r>
              <w:rPr>
                <w:rFonts w:cs="Times New Roman"/>
                <w:b/>
                <w:sz w:val="18"/>
                <w:szCs w:val="18"/>
              </w:rPr>
              <w:t xml:space="preserve">4. Specialized skills and scholarship: </w:t>
            </w:r>
            <w:r>
              <w:rPr>
                <w:rFonts w:cs="Times New Roman"/>
                <w:sz w:val="18"/>
                <w:szCs w:val="18"/>
              </w:rPr>
              <w:t>Students will become proficient in the scholarship of their discipline and demonstrate specialized skills required for employment</w:t>
            </w:r>
          </w:p>
        </w:tc>
        <w:tc>
          <w:tcPr>
            <w:tcW w:w="4500" w:type="dxa"/>
            <w:shd w:val="clear" w:color="auto" w:fill="auto"/>
          </w:tcPr>
          <w:p>
            <w:pPr>
              <w:spacing w:line="240" w:lineRule="exact"/>
              <w:rPr>
                <w:rFonts w:cs="Times New Roman"/>
                <w:sz w:val="18"/>
                <w:szCs w:val="18"/>
              </w:rPr>
            </w:pPr>
            <w:r>
              <w:rPr>
                <w:rFonts w:cs="Times New Roman"/>
                <w:sz w:val="18"/>
                <w:szCs w:val="18"/>
              </w:rPr>
              <w:t>Students will demonstrate ability to effectively measure, assimilate and communicate economic data.</w:t>
            </w:r>
          </w:p>
          <w:p>
            <w:pPr>
              <w:spacing w:line="240" w:lineRule="exact"/>
              <w:rPr>
                <w:rFonts w:cs="Times New Roman"/>
                <w:sz w:val="18"/>
                <w:szCs w:val="18"/>
              </w:rPr>
            </w:pPr>
          </w:p>
        </w:tc>
        <w:tc>
          <w:tcPr>
            <w:tcW w:w="1800" w:type="dxa"/>
            <w:shd w:val="clear" w:color="auto" w:fill="auto"/>
          </w:tcPr>
          <w:p>
            <w:pPr>
              <w:rPr>
                <w:rFonts w:cs="Times New Roman"/>
                <w:sz w:val="18"/>
                <w:szCs w:val="18"/>
              </w:rPr>
            </w:pPr>
            <w:r>
              <w:rPr>
                <w:rFonts w:cs="Times New Roman"/>
                <w:sz w:val="18"/>
                <w:szCs w:val="18"/>
              </w:rPr>
              <w:t>ACCT 141, 242, 301, 302, 303, 343, 347, 440, 442</w:t>
            </w:r>
          </w:p>
        </w:tc>
        <w:tc>
          <w:tcPr>
            <w:tcW w:w="1980" w:type="dxa"/>
            <w:shd w:val="clear" w:color="auto" w:fill="auto"/>
          </w:tcPr>
          <w:p>
            <w:pPr>
              <w:rPr>
                <w:rFonts w:cs="Times New Roman"/>
                <w:sz w:val="18"/>
                <w:szCs w:val="18"/>
              </w:rPr>
            </w:pPr>
            <w:r>
              <w:rPr>
                <w:rFonts w:cs="Times New Roman"/>
                <w:sz w:val="18"/>
                <w:szCs w:val="18"/>
              </w:rPr>
              <w:t>CPA Exam</w:t>
            </w:r>
          </w:p>
        </w:tc>
        <w:tc>
          <w:tcPr>
            <w:tcW w:w="1890" w:type="dxa"/>
            <w:shd w:val="clear" w:color="auto" w:fill="auto"/>
          </w:tcPr>
          <w:p>
            <w:pPr>
              <w:rPr>
                <w:rFonts w:cs="Times New Roman"/>
                <w:sz w:val="18"/>
                <w:szCs w:val="18"/>
              </w:rPr>
            </w:pPr>
            <w:r>
              <w:rPr>
                <w:rFonts w:cs="Times New Roman"/>
                <w:sz w:val="18"/>
                <w:szCs w:val="18"/>
              </w:rPr>
              <w:t>Place in the top 10 of PA schools reporting for the year for students’ percentage of parts passed</w:t>
            </w:r>
          </w:p>
        </w:tc>
        <w:tc>
          <w:tcPr>
            <w:tcW w:w="1507" w:type="dxa"/>
            <w:shd w:val="clear" w:color="auto" w:fill="auto"/>
          </w:tcPr>
          <w:p>
            <w:pPr>
              <w:rPr>
                <w:rFonts w:cs="Times New Roman"/>
                <w:sz w:val="18"/>
                <w:szCs w:val="18"/>
              </w:rPr>
            </w:pPr>
            <w:r>
              <w:rPr>
                <w:rFonts w:cs="Times New Roman"/>
                <w:sz w:val="18"/>
                <w:szCs w:val="18"/>
              </w:rPr>
              <w:t>Data collected every year, assessed every other year</w:t>
            </w:r>
          </w:p>
        </w:tc>
        <w:tc>
          <w:tcPr>
            <w:tcW w:w="1463" w:type="dxa"/>
            <w:shd w:val="clear" w:color="auto" w:fill="auto"/>
          </w:tcPr>
          <w:p>
            <w:pPr>
              <w:rPr>
                <w:rFonts w:cs="Times New Roman"/>
                <w:sz w:val="18"/>
                <w:szCs w:val="18"/>
              </w:rPr>
            </w:pPr>
            <w:r>
              <w:rPr>
                <w:rFonts w:cs="Times New Roman"/>
                <w:sz w:val="18"/>
                <w:szCs w:val="18"/>
              </w:rPr>
              <w:t>See WEAVE</w:t>
            </w:r>
          </w:p>
        </w:tc>
        <w:tc>
          <w:tcPr>
            <w:tcW w:w="1530" w:type="dxa"/>
            <w:shd w:val="clear" w:color="auto" w:fill="auto"/>
          </w:tcPr>
          <w:p>
            <w:pPr>
              <w:rPr>
                <w:rFonts w:cs="Times New Roman"/>
                <w:sz w:val="18"/>
                <w:szCs w:val="18"/>
              </w:rPr>
            </w:pPr>
            <w:r>
              <w:rPr>
                <w:rFonts w:cs="Times New Roman"/>
                <w:sz w:val="18"/>
                <w:szCs w:val="18"/>
              </w:rPr>
              <w:t>See WEAVE</w:t>
            </w:r>
          </w:p>
        </w:tc>
      </w:tr>
      <w:tr>
        <w:tc>
          <w:tcPr>
            <w:tcW w:w="4050" w:type="dxa"/>
            <w:shd w:val="clear" w:color="auto" w:fill="auto"/>
          </w:tcPr>
          <w:p>
            <w:pPr>
              <w:rPr>
                <w:rFonts w:cs="Times New Roman"/>
                <w:sz w:val="18"/>
                <w:szCs w:val="18"/>
              </w:rPr>
            </w:pPr>
            <w:r>
              <w:rPr>
                <w:rFonts w:cs="Times New Roman"/>
                <w:b/>
                <w:bCs/>
                <w:sz w:val="18"/>
                <w:szCs w:val="18"/>
              </w:rPr>
              <w:t>4.</w:t>
            </w:r>
            <w:r>
              <w:rPr>
                <w:rFonts w:cs="Times New Roman"/>
                <w:b/>
                <w:bCs/>
                <w:sz w:val="18"/>
                <w:szCs w:val="18"/>
                <w:u w:val="single"/>
              </w:rPr>
              <w:t xml:space="preserve"> </w:t>
            </w:r>
            <w:r>
              <w:rPr>
                <w:rFonts w:cs="Times New Roman"/>
                <w:b/>
                <w:sz w:val="18"/>
                <w:szCs w:val="18"/>
                <w:u w:val="single"/>
              </w:rPr>
              <w:t>Specialized skills and scholarship:</w:t>
            </w:r>
            <w:r>
              <w:rPr>
                <w:rFonts w:cs="Times New Roman"/>
                <w:b/>
                <w:sz w:val="18"/>
                <w:szCs w:val="18"/>
              </w:rPr>
              <w:t xml:space="preserve"> </w:t>
            </w:r>
            <w:r>
              <w:rPr>
                <w:rFonts w:cs="Times New Roman"/>
                <w:b/>
                <w:sz w:val="18"/>
                <w:szCs w:val="18"/>
              </w:rPr>
              <w:br/>
              <w:t xml:space="preserve">   </w:t>
            </w:r>
            <w:r>
              <w:rPr>
                <w:rFonts w:cs="Times New Roman"/>
                <w:bCs/>
                <w:sz w:val="18"/>
                <w:szCs w:val="18"/>
              </w:rPr>
              <w:t>(continued)</w:t>
            </w:r>
          </w:p>
        </w:tc>
        <w:tc>
          <w:tcPr>
            <w:tcW w:w="4500" w:type="dxa"/>
            <w:shd w:val="clear" w:color="auto" w:fill="auto"/>
          </w:tcPr>
          <w:p>
            <w:pPr>
              <w:spacing w:line="240" w:lineRule="exact"/>
              <w:rPr>
                <w:rFonts w:cs="Times New Roman"/>
                <w:sz w:val="18"/>
                <w:szCs w:val="18"/>
                <w:highlight w:val="yellow"/>
              </w:rPr>
            </w:pPr>
            <w:r>
              <w:rPr>
                <w:rFonts w:cs="Times New Roman"/>
                <w:sz w:val="18"/>
                <w:szCs w:val="18"/>
                <w:highlight w:val="yellow"/>
              </w:rPr>
              <w:t>Students will demonstrate and defend their ability to effectively measure, assimilate and communicate economic data.</w:t>
            </w:r>
          </w:p>
          <w:p>
            <w:pPr>
              <w:spacing w:line="240" w:lineRule="exact"/>
              <w:rPr>
                <w:rFonts w:cs="Times New Roman"/>
                <w:sz w:val="18"/>
                <w:szCs w:val="18"/>
                <w:highlight w:val="yellow"/>
              </w:rPr>
            </w:pPr>
          </w:p>
        </w:tc>
        <w:tc>
          <w:tcPr>
            <w:tcW w:w="1800" w:type="dxa"/>
            <w:shd w:val="clear" w:color="auto" w:fill="auto"/>
          </w:tcPr>
          <w:p>
            <w:pPr>
              <w:rPr>
                <w:rFonts w:cs="Times New Roman"/>
                <w:sz w:val="18"/>
                <w:szCs w:val="18"/>
                <w:highlight w:val="yellow"/>
              </w:rPr>
            </w:pPr>
            <w:r>
              <w:rPr>
                <w:rFonts w:cs="Times New Roman"/>
                <w:sz w:val="18"/>
                <w:szCs w:val="18"/>
                <w:highlight w:val="yellow"/>
              </w:rPr>
              <w:t>ACCT 440</w:t>
            </w:r>
          </w:p>
        </w:tc>
        <w:tc>
          <w:tcPr>
            <w:tcW w:w="1980" w:type="dxa"/>
            <w:shd w:val="clear" w:color="auto" w:fill="auto"/>
          </w:tcPr>
          <w:p>
            <w:pPr>
              <w:rPr>
                <w:rFonts w:cs="Times New Roman"/>
                <w:sz w:val="18"/>
                <w:szCs w:val="18"/>
                <w:highlight w:val="yellow"/>
              </w:rPr>
            </w:pPr>
            <w:r>
              <w:rPr>
                <w:rFonts w:cs="Times New Roman"/>
                <w:sz w:val="18"/>
                <w:szCs w:val="18"/>
                <w:highlight w:val="yellow"/>
              </w:rPr>
              <w:t>Group Business Meeting Simulation</w:t>
            </w:r>
          </w:p>
        </w:tc>
        <w:tc>
          <w:tcPr>
            <w:tcW w:w="1890" w:type="dxa"/>
            <w:shd w:val="clear" w:color="auto" w:fill="auto"/>
          </w:tcPr>
          <w:p>
            <w:pPr>
              <w:rPr>
                <w:rFonts w:cs="Times New Roman"/>
                <w:sz w:val="18"/>
                <w:szCs w:val="18"/>
                <w:highlight w:val="yellow"/>
              </w:rPr>
            </w:pPr>
            <w:r>
              <w:rPr>
                <w:rFonts w:cs="Times New Roman"/>
                <w:sz w:val="18"/>
                <w:szCs w:val="18"/>
                <w:highlight w:val="yellow"/>
              </w:rPr>
              <w:t>75% received an 85% or above on the third tax return.</w:t>
            </w:r>
          </w:p>
        </w:tc>
        <w:tc>
          <w:tcPr>
            <w:tcW w:w="1507" w:type="dxa"/>
            <w:shd w:val="clear" w:color="auto" w:fill="auto"/>
          </w:tcPr>
          <w:p>
            <w:pPr>
              <w:rPr>
                <w:rFonts w:cs="Times New Roman"/>
                <w:sz w:val="18"/>
                <w:szCs w:val="18"/>
                <w:highlight w:val="yellow"/>
              </w:rPr>
            </w:pPr>
            <w:r>
              <w:rPr>
                <w:rFonts w:cs="Times New Roman"/>
                <w:sz w:val="18"/>
                <w:szCs w:val="18"/>
                <w:highlight w:val="yellow"/>
              </w:rPr>
              <w:t>Data collected every year, assessed every other year</w:t>
            </w:r>
          </w:p>
        </w:tc>
        <w:tc>
          <w:tcPr>
            <w:tcW w:w="1463" w:type="dxa"/>
            <w:shd w:val="clear" w:color="auto" w:fill="auto"/>
          </w:tcPr>
          <w:p>
            <w:pPr>
              <w:rPr>
                <w:rFonts w:cs="Times New Roman"/>
                <w:sz w:val="18"/>
                <w:szCs w:val="18"/>
              </w:rPr>
            </w:pPr>
            <w:r>
              <w:rPr>
                <w:rFonts w:cs="Times New Roman"/>
                <w:sz w:val="18"/>
                <w:szCs w:val="18"/>
              </w:rPr>
              <w:t xml:space="preserve">See WEAVE </w:t>
            </w:r>
          </w:p>
        </w:tc>
        <w:tc>
          <w:tcPr>
            <w:tcW w:w="1530" w:type="dxa"/>
            <w:shd w:val="clear" w:color="auto" w:fill="auto"/>
          </w:tcPr>
          <w:p>
            <w:pPr>
              <w:rPr>
                <w:rFonts w:cs="Times New Roman"/>
                <w:sz w:val="18"/>
                <w:szCs w:val="18"/>
              </w:rPr>
            </w:pPr>
            <w:r>
              <w:rPr>
                <w:rFonts w:cs="Times New Roman"/>
                <w:sz w:val="18"/>
                <w:szCs w:val="18"/>
              </w:rPr>
              <w:t>See WEAVE</w:t>
            </w:r>
          </w:p>
        </w:tc>
      </w:tr>
      <w:tr>
        <w:tc>
          <w:tcPr>
            <w:tcW w:w="4050" w:type="dxa"/>
          </w:tcPr>
          <w:p>
            <w:pPr>
              <w:pStyle w:val="TableParagraph"/>
              <w:ind w:right="88"/>
              <w:rPr>
                <w:rFonts w:ascii="Times New Roman" w:hAnsi="Times New Roman" w:cs="Times New Roman"/>
                <w:b/>
                <w:sz w:val="18"/>
                <w:szCs w:val="18"/>
              </w:rPr>
            </w:pPr>
            <w:r>
              <w:rPr>
                <w:rFonts w:ascii="Times New Roman" w:hAnsi="Times New Roman" w:cs="Times New Roman"/>
                <w:b/>
                <w:bCs/>
                <w:sz w:val="18"/>
                <w:szCs w:val="18"/>
              </w:rPr>
              <w:t>4.</w:t>
            </w:r>
            <w:r>
              <w:rPr>
                <w:rFonts w:ascii="Times New Roman" w:hAnsi="Times New Roman" w:cs="Times New Roman"/>
                <w:b/>
                <w:bCs/>
                <w:sz w:val="18"/>
                <w:szCs w:val="18"/>
                <w:u w:val="single"/>
              </w:rPr>
              <w:t xml:space="preserve"> </w:t>
            </w:r>
            <w:r>
              <w:rPr>
                <w:rFonts w:ascii="Times New Roman" w:hAnsi="Times New Roman" w:cs="Times New Roman"/>
                <w:b/>
                <w:sz w:val="18"/>
                <w:szCs w:val="18"/>
                <w:u w:val="single"/>
              </w:rPr>
              <w:t>Specialized skills and scholarship:</w:t>
            </w:r>
            <w:r>
              <w:rPr>
                <w:rFonts w:ascii="Times New Roman" w:hAnsi="Times New Roman" w:cs="Times New Roman"/>
                <w:b/>
                <w:sz w:val="18"/>
                <w:szCs w:val="18"/>
              </w:rPr>
              <w:t xml:space="preserve"> </w:t>
            </w:r>
            <w:r>
              <w:rPr>
                <w:rFonts w:ascii="Times New Roman" w:hAnsi="Times New Roman" w:cs="Times New Roman"/>
                <w:b/>
                <w:sz w:val="18"/>
                <w:szCs w:val="18"/>
              </w:rPr>
              <w:br/>
              <w:t xml:space="preserve">   </w:t>
            </w:r>
            <w:r>
              <w:rPr>
                <w:rFonts w:ascii="Times New Roman" w:hAnsi="Times New Roman" w:cs="Times New Roman"/>
                <w:bCs/>
                <w:sz w:val="18"/>
                <w:szCs w:val="18"/>
              </w:rPr>
              <w:t>(continued)</w:t>
            </w:r>
          </w:p>
        </w:tc>
        <w:tc>
          <w:tcPr>
            <w:tcW w:w="4500" w:type="dxa"/>
          </w:tcPr>
          <w:p>
            <w:pPr>
              <w:pStyle w:val="TableParagraph"/>
              <w:spacing w:line="223" w:lineRule="exact"/>
              <w:rPr>
                <w:rFonts w:ascii="Times New Roman" w:hAnsi="Times New Roman" w:cs="Times New Roman"/>
                <w:sz w:val="18"/>
                <w:szCs w:val="18"/>
              </w:rPr>
            </w:pPr>
            <w:r>
              <w:rPr>
                <w:rFonts w:ascii="Times New Roman" w:hAnsi="Times New Roman" w:cs="Times New Roman"/>
                <w:sz w:val="18"/>
                <w:szCs w:val="18"/>
              </w:rPr>
              <w:t>A third measure is assessed in the CORE.</w:t>
            </w:r>
          </w:p>
          <w:p>
            <w:pPr>
              <w:pStyle w:val="TableParagraph"/>
              <w:numPr>
                <w:ilvl w:val="0"/>
                <w:numId w:val="4"/>
              </w:numPr>
              <w:spacing w:line="223" w:lineRule="exact"/>
              <w:rPr>
                <w:rFonts w:ascii="Times New Roman" w:hAnsi="Times New Roman" w:cs="Times New Roman"/>
                <w:color w:val="1F497D"/>
                <w:sz w:val="18"/>
                <w:szCs w:val="18"/>
              </w:rPr>
            </w:pPr>
            <w:r>
              <w:rPr>
                <w:rFonts w:ascii="Times New Roman" w:hAnsi="Times New Roman" w:cs="Times New Roman"/>
                <w:sz w:val="18"/>
                <w:szCs w:val="18"/>
              </w:rPr>
              <w:t>Project completed in ACCT 242.</w:t>
            </w:r>
          </w:p>
        </w:tc>
        <w:tc>
          <w:tcPr>
            <w:tcW w:w="1800" w:type="dxa"/>
          </w:tcPr>
          <w:p>
            <w:pPr>
              <w:pStyle w:val="TableParagraph"/>
              <w:spacing w:line="223" w:lineRule="exact"/>
              <w:ind w:left="100"/>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980" w:type="dxa"/>
          </w:tcPr>
          <w:p>
            <w:pPr>
              <w:pStyle w:val="TableParagraph"/>
              <w:spacing w:line="223" w:lineRule="exact"/>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890" w:type="dxa"/>
          </w:tcPr>
          <w:p>
            <w:pPr>
              <w:pStyle w:val="TableParagraph"/>
              <w:ind w:left="100" w:right="371"/>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507" w:type="dxa"/>
          </w:tcPr>
          <w:p>
            <w:pPr>
              <w:pStyle w:val="TableParagraph"/>
              <w:ind w:left="100" w:right="371"/>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463" w:type="dxa"/>
            <w:shd w:val="clear" w:color="auto" w:fill="auto"/>
          </w:tcPr>
          <w:p>
            <w:pPr>
              <w:rPr>
                <w:rFonts w:cs="Times New Roman"/>
                <w:sz w:val="18"/>
                <w:szCs w:val="18"/>
              </w:rPr>
            </w:pPr>
            <w:r>
              <w:rPr>
                <w:rFonts w:cs="Times New Roman"/>
                <w:sz w:val="18"/>
                <w:szCs w:val="18"/>
              </w:rPr>
              <w:t>See WEAVE</w:t>
            </w:r>
          </w:p>
        </w:tc>
        <w:tc>
          <w:tcPr>
            <w:tcW w:w="1530" w:type="dxa"/>
            <w:shd w:val="clear" w:color="auto" w:fill="auto"/>
          </w:tcPr>
          <w:p>
            <w:pPr>
              <w:rPr>
                <w:rFonts w:cs="Times New Roman"/>
                <w:sz w:val="18"/>
                <w:szCs w:val="18"/>
              </w:rPr>
            </w:pPr>
            <w:r>
              <w:rPr>
                <w:rFonts w:cs="Times New Roman"/>
                <w:sz w:val="18"/>
                <w:szCs w:val="18"/>
              </w:rPr>
              <w:t>See WEAVE</w:t>
            </w:r>
          </w:p>
        </w:tc>
      </w:tr>
      <w:tr>
        <w:tc>
          <w:tcPr>
            <w:tcW w:w="4050" w:type="dxa"/>
          </w:tcPr>
          <w:p>
            <w:pPr>
              <w:pStyle w:val="TableParagraph"/>
              <w:ind w:right="88"/>
              <w:rPr>
                <w:rFonts w:ascii="Times New Roman" w:hAnsi="Times New Roman" w:cs="Times New Roman"/>
                <w:sz w:val="18"/>
                <w:szCs w:val="18"/>
              </w:rPr>
            </w:pPr>
            <w:r>
              <w:rPr>
                <w:rFonts w:ascii="Times New Roman" w:hAnsi="Times New Roman" w:cs="Times New Roman"/>
                <w:b/>
                <w:sz w:val="18"/>
                <w:szCs w:val="18"/>
              </w:rPr>
              <w:t>5.</w:t>
            </w:r>
            <w:r>
              <w:rPr>
                <w:rFonts w:ascii="Times New Roman" w:hAnsi="Times New Roman" w:cs="Times New Roman"/>
                <w:b/>
                <w:sz w:val="18"/>
                <w:szCs w:val="18"/>
                <w:u w:val="single"/>
              </w:rPr>
              <w:t xml:space="preserve"> Intrapersonal Awareness:</w:t>
            </w:r>
            <w:r>
              <w:rPr>
                <w:rFonts w:ascii="Times New Roman" w:hAnsi="Times New Roman" w:cs="Times New Roman"/>
                <w:b/>
                <w:sz w:val="18"/>
                <w:szCs w:val="18"/>
              </w:rPr>
              <w:t xml:space="preserve"> </w:t>
            </w:r>
            <w:r>
              <w:rPr>
                <w:rFonts w:ascii="Times New Roman" w:hAnsi="Times New Roman" w:cs="Times New Roman"/>
                <w:sz w:val="18"/>
                <w:szCs w:val="18"/>
              </w:rPr>
              <w:t>Students will gain self-awareness of identity, character, and vocational calling</w:t>
            </w:r>
          </w:p>
        </w:tc>
        <w:tc>
          <w:tcPr>
            <w:tcW w:w="4500" w:type="dxa"/>
          </w:tcPr>
          <w:p>
            <w:pPr>
              <w:pStyle w:val="TableParagraph"/>
              <w:spacing w:line="223" w:lineRule="exact"/>
              <w:rPr>
                <w:rFonts w:ascii="Times New Roman" w:hAnsi="Times New Roman" w:cs="Times New Roman"/>
                <w:color w:val="1F497D"/>
                <w:sz w:val="18"/>
                <w:szCs w:val="18"/>
              </w:rPr>
            </w:pPr>
            <w:r>
              <w:rPr>
                <w:rFonts w:ascii="Times New Roman" w:hAnsi="Times New Roman" w:cs="Times New Roman"/>
                <w:color w:val="1F497D"/>
                <w:sz w:val="18"/>
                <w:szCs w:val="18"/>
              </w:rPr>
              <w:t>Assessed in CORE</w:t>
            </w:r>
          </w:p>
          <w:p>
            <w:pPr>
              <w:pStyle w:val="TableParagraph"/>
              <w:numPr>
                <w:ilvl w:val="0"/>
                <w:numId w:val="5"/>
              </w:numPr>
              <w:spacing w:line="223" w:lineRule="exact"/>
              <w:rPr>
                <w:rFonts w:ascii="Times New Roman" w:hAnsi="Times New Roman" w:cs="Times New Roman"/>
                <w:sz w:val="18"/>
                <w:szCs w:val="18"/>
              </w:rPr>
            </w:pPr>
            <w:r>
              <w:rPr>
                <w:rFonts w:ascii="Times New Roman" w:hAnsi="Times New Roman" w:cs="Times New Roman"/>
                <w:sz w:val="18"/>
                <w:szCs w:val="18"/>
              </w:rPr>
              <w:t>Two measures assessed in CORE</w:t>
            </w:r>
          </w:p>
        </w:tc>
        <w:tc>
          <w:tcPr>
            <w:tcW w:w="1800" w:type="dxa"/>
          </w:tcPr>
          <w:p>
            <w:pPr>
              <w:pStyle w:val="TableParagraph"/>
              <w:spacing w:line="223" w:lineRule="exact"/>
              <w:ind w:left="100"/>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980" w:type="dxa"/>
          </w:tcPr>
          <w:p>
            <w:pPr>
              <w:pStyle w:val="TableParagraph"/>
              <w:spacing w:line="223" w:lineRule="exact"/>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890" w:type="dxa"/>
          </w:tcPr>
          <w:p>
            <w:pPr>
              <w:pStyle w:val="TableParagraph"/>
              <w:ind w:left="100" w:right="371"/>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507" w:type="dxa"/>
          </w:tcPr>
          <w:p>
            <w:pPr>
              <w:pStyle w:val="TableParagraph"/>
              <w:ind w:left="100" w:right="371"/>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463" w:type="dxa"/>
            <w:shd w:val="clear" w:color="auto" w:fill="auto"/>
          </w:tcPr>
          <w:p>
            <w:pPr>
              <w:rPr>
                <w:rFonts w:cs="Times New Roman"/>
                <w:sz w:val="18"/>
                <w:szCs w:val="18"/>
              </w:rPr>
            </w:pPr>
            <w:r>
              <w:rPr>
                <w:rFonts w:cs="Times New Roman"/>
                <w:sz w:val="18"/>
                <w:szCs w:val="18"/>
              </w:rPr>
              <w:t>See WEAVE</w:t>
            </w:r>
          </w:p>
        </w:tc>
        <w:tc>
          <w:tcPr>
            <w:tcW w:w="1530" w:type="dxa"/>
            <w:shd w:val="clear" w:color="auto" w:fill="auto"/>
          </w:tcPr>
          <w:p>
            <w:pPr>
              <w:rPr>
                <w:rFonts w:cs="Times New Roman"/>
                <w:sz w:val="18"/>
                <w:szCs w:val="18"/>
              </w:rPr>
            </w:pPr>
            <w:r>
              <w:rPr>
                <w:rFonts w:cs="Times New Roman"/>
                <w:sz w:val="18"/>
                <w:szCs w:val="18"/>
              </w:rPr>
              <w:t>See WEAVE</w:t>
            </w:r>
          </w:p>
        </w:tc>
      </w:tr>
    </w:tbl>
    <w:p>
      <w:pPr>
        <w:rPr>
          <w:rFonts w:cs="Times New Roman"/>
          <w:sz w:val="18"/>
          <w:szCs w:val="18"/>
        </w:rPr>
      </w:pPr>
    </w:p>
    <w:sectPr>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260" w:right="1440" w:bottom="1440" w:left="1440" w:header="720" w:footer="5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t>MANB</w:t>
    </w:r>
    <w:r>
      <w:tab/>
      <w:t>Accounting Major (discipline specific)</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71EC"/>
    <w:multiLevelType w:val="hybridMultilevel"/>
    <w:tmpl w:val="5EB4AE3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 w15:restartNumberingAfterBreak="0">
    <w:nsid w:val="0D4115B5"/>
    <w:multiLevelType w:val="hybridMultilevel"/>
    <w:tmpl w:val="0FAA5A9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 w15:restartNumberingAfterBreak="0">
    <w:nsid w:val="14B93FF3"/>
    <w:multiLevelType w:val="hybridMultilevel"/>
    <w:tmpl w:val="1F9ABAF8"/>
    <w:lvl w:ilvl="0" w:tplc="D0EA3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B5363"/>
    <w:multiLevelType w:val="hybridMultilevel"/>
    <w:tmpl w:val="89F0386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8AEA87-BB75-4B7B-B8EC-A02C37A4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customStyle="1" w:styleId="Default">
    <w:name w:val="Default"/>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ind w:left="103"/>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222464">
      <w:bodyDiv w:val="1"/>
      <w:marLeft w:val="0"/>
      <w:marRight w:val="0"/>
      <w:marTop w:val="0"/>
      <w:marBottom w:val="0"/>
      <w:divBdr>
        <w:top w:val="none" w:sz="0" w:space="0" w:color="auto"/>
        <w:left w:val="none" w:sz="0" w:space="0" w:color="auto"/>
        <w:bottom w:val="none" w:sz="0" w:space="0" w:color="auto"/>
        <w:right w:val="none" w:sz="0" w:space="0" w:color="auto"/>
      </w:divBdr>
    </w:div>
    <w:div w:id="19913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51929-9327-4D32-A4F9-D7E607D5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Babyak, Andrew</cp:lastModifiedBy>
  <cp:revision>3</cp:revision>
  <cp:lastPrinted>2012-02-08T22:23:00Z</cp:lastPrinted>
  <dcterms:created xsi:type="dcterms:W3CDTF">2017-05-24T17:56:00Z</dcterms:created>
  <dcterms:modified xsi:type="dcterms:W3CDTF">2017-05-24T18:32:00Z</dcterms:modified>
</cp:coreProperties>
</file>