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3"/>
        <w:spacing w:before="251" w:after="3"/>
        <w:ind w:left="120" w:firstLine="0"/>
        <w:rPr>
          <w:rFonts w:ascii="Times New Roman"/>
        </w:rPr>
      </w:pPr>
      <w:r>
        <w:rPr>
          <w:rFonts w:ascii="Times New Roman"/>
        </w:rPr>
        <w:t>FINANCE major - specific</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5131"/>
        <w:gridCol w:w="2453"/>
        <w:gridCol w:w="2047"/>
        <w:gridCol w:w="1440"/>
      </w:tblGrid>
      <w:tr>
        <w:trPr>
          <w:trHeight w:hRule="exact" w:val="698"/>
        </w:trPr>
        <w:tc>
          <w:tcPr>
            <w:tcW w:w="3420" w:type="dxa"/>
            <w:shd w:val="clear" w:color="auto" w:fill="F2F2F2" w:themeFill="background1" w:themeFillShade="F2"/>
            <w:vAlign w:val="center"/>
          </w:tcPr>
          <w:p>
            <w:pPr>
              <w:pStyle w:val="TableParagraph"/>
              <w:rPr>
                <w:rFonts w:ascii="Times New Roman" w:hAnsi="Times New Roman" w:cs="Times New Roman"/>
                <w:b/>
                <w:sz w:val="18"/>
                <w:szCs w:val="18"/>
              </w:rPr>
            </w:pPr>
            <w:r>
              <w:rPr>
                <w:rFonts w:ascii="Times New Roman" w:hAnsi="Times New Roman" w:cs="Times New Roman"/>
                <w:b/>
                <w:sz w:val="18"/>
                <w:szCs w:val="18"/>
              </w:rPr>
              <w:t xml:space="preserve">CWEO Category </w:t>
            </w:r>
          </w:p>
        </w:tc>
        <w:tc>
          <w:tcPr>
            <w:tcW w:w="5131" w:type="dxa"/>
            <w:shd w:val="clear" w:color="auto" w:fill="F2F2F2" w:themeFill="background1" w:themeFillShade="F2"/>
            <w:vAlign w:val="center"/>
          </w:tcPr>
          <w:p>
            <w:pPr>
              <w:pStyle w:val="TableParagraph"/>
              <w:spacing w:line="223" w:lineRule="exact"/>
              <w:rPr>
                <w:rFonts w:ascii="Times New Roman" w:hAnsi="Times New Roman" w:cs="Times New Roman"/>
                <w:sz w:val="18"/>
                <w:szCs w:val="18"/>
              </w:rPr>
            </w:pPr>
            <w:r>
              <w:rPr>
                <w:rFonts w:ascii="Times New Roman" w:hAnsi="Times New Roman" w:cs="Times New Roman"/>
                <w:b/>
                <w:sz w:val="18"/>
                <w:szCs w:val="18"/>
              </w:rPr>
              <w:t xml:space="preserve">Student Learning Objective </w:t>
            </w:r>
            <w:r>
              <w:rPr>
                <w:rFonts w:ascii="Times New Roman" w:hAnsi="Times New Roman" w:cs="Times New Roman"/>
                <w:sz w:val="18"/>
                <w:szCs w:val="18"/>
              </w:rPr>
              <w:t>(SLO 1, 2, 3, etc.)</w:t>
            </w:r>
          </w:p>
        </w:tc>
        <w:tc>
          <w:tcPr>
            <w:tcW w:w="2453" w:type="dxa"/>
            <w:shd w:val="clear" w:color="auto" w:fill="F2F2F2" w:themeFill="background1" w:themeFillShade="F2"/>
            <w:vAlign w:val="center"/>
          </w:tcPr>
          <w:p>
            <w:pPr>
              <w:pStyle w:val="TableParagraph"/>
              <w:ind w:left="100"/>
              <w:rPr>
                <w:rFonts w:ascii="Times New Roman" w:hAnsi="Times New Roman" w:cs="Times New Roman"/>
                <w:sz w:val="18"/>
                <w:szCs w:val="18"/>
              </w:rPr>
            </w:pPr>
            <w:r>
              <w:rPr>
                <w:rFonts w:ascii="Times New Roman" w:hAnsi="Times New Roman" w:cs="Times New Roman"/>
                <w:b/>
                <w:sz w:val="18"/>
                <w:szCs w:val="18"/>
              </w:rPr>
              <w:t xml:space="preserve">Measure </w:t>
            </w:r>
            <w:r>
              <w:rPr>
                <w:rFonts w:ascii="Times New Roman" w:hAnsi="Times New Roman" w:cs="Times New Roman"/>
                <w:sz w:val="18"/>
                <w:szCs w:val="18"/>
              </w:rPr>
              <w:t>(Method to gauge achievement)</w:t>
            </w:r>
          </w:p>
        </w:tc>
        <w:tc>
          <w:tcPr>
            <w:tcW w:w="2047" w:type="dxa"/>
            <w:shd w:val="clear" w:color="auto" w:fill="F2F2F2" w:themeFill="background1" w:themeFillShade="F2"/>
            <w:vAlign w:val="center"/>
          </w:tcPr>
          <w:p>
            <w:pPr>
              <w:pStyle w:val="TableParagraph"/>
              <w:ind w:right="182"/>
              <w:rPr>
                <w:rFonts w:ascii="Times New Roman" w:hAnsi="Times New Roman" w:cs="Times New Roman"/>
                <w:sz w:val="18"/>
                <w:szCs w:val="18"/>
              </w:rPr>
            </w:pPr>
            <w:r>
              <w:rPr>
                <w:rFonts w:ascii="Times New Roman" w:hAnsi="Times New Roman" w:cs="Times New Roman"/>
                <w:b/>
                <w:sz w:val="18"/>
                <w:szCs w:val="18"/>
              </w:rPr>
              <w:t xml:space="preserve">Target </w:t>
            </w:r>
            <w:r>
              <w:rPr>
                <w:rFonts w:ascii="Times New Roman" w:hAnsi="Times New Roman" w:cs="Times New Roman"/>
                <w:sz w:val="18"/>
                <w:szCs w:val="18"/>
              </w:rPr>
              <w:t>(Overall level for satisfactory performance.)</w:t>
            </w:r>
          </w:p>
        </w:tc>
        <w:tc>
          <w:tcPr>
            <w:tcW w:w="1440" w:type="dxa"/>
            <w:shd w:val="clear" w:color="auto" w:fill="F2F2F2" w:themeFill="background1" w:themeFillShade="F2"/>
            <w:vAlign w:val="center"/>
          </w:tcPr>
          <w:p>
            <w:pPr>
              <w:pStyle w:val="TableParagraph"/>
              <w:ind w:left="100" w:right="205"/>
              <w:rPr>
                <w:rFonts w:ascii="Times New Roman" w:hAnsi="Times New Roman" w:cs="Times New Roman"/>
                <w:sz w:val="18"/>
                <w:szCs w:val="18"/>
              </w:rPr>
            </w:pPr>
            <w:r>
              <w:rPr>
                <w:rFonts w:ascii="Times New Roman" w:hAnsi="Times New Roman" w:cs="Times New Roman"/>
                <w:b/>
                <w:sz w:val="18"/>
                <w:szCs w:val="18"/>
              </w:rPr>
              <w:t xml:space="preserve">Timeline </w:t>
            </w:r>
            <w:r>
              <w:rPr>
                <w:rFonts w:ascii="Times New Roman" w:hAnsi="Times New Roman" w:cs="Times New Roman"/>
                <w:sz w:val="18"/>
                <w:szCs w:val="18"/>
              </w:rPr>
              <w:t>(for data collection)</w:t>
            </w:r>
          </w:p>
        </w:tc>
      </w:tr>
      <w:tr>
        <w:trPr>
          <w:trHeight w:hRule="exact" w:val="1513"/>
        </w:trPr>
        <w:tc>
          <w:tcPr>
            <w:tcW w:w="3420" w:type="dxa"/>
          </w:tcPr>
          <w:p>
            <w:pPr>
              <w:pStyle w:val="TableParagraph"/>
              <w:spacing w:line="206" w:lineRule="exact"/>
              <w:ind w:right="383"/>
              <w:rPr>
                <w:rFonts w:ascii="Times New Roman" w:hAnsi="Times New Roman" w:cs="Times New Roman"/>
                <w:sz w:val="18"/>
                <w:szCs w:val="18"/>
              </w:rPr>
            </w:pPr>
            <w:r>
              <w:rPr>
                <w:rFonts w:ascii="Times New Roman" w:hAnsi="Times New Roman" w:cs="Times New Roman"/>
                <w:b/>
                <w:bCs/>
                <w:sz w:val="18"/>
                <w:szCs w:val="18"/>
              </w:rPr>
              <w:t>2.</w:t>
            </w:r>
            <w:r>
              <w:rPr>
                <w:rFonts w:ascii="Times New Roman" w:hAnsi="Times New Roman" w:cs="Times New Roman"/>
                <w:b/>
                <w:bCs/>
                <w:sz w:val="18"/>
                <w:szCs w:val="18"/>
                <w:u w:val="single"/>
              </w:rPr>
              <w:t xml:space="preserve"> Breadth and depth of knowledge:</w:t>
            </w:r>
            <w:r>
              <w:rPr>
                <w:rFonts w:ascii="Times New Roman" w:hAnsi="Times New Roman" w:cs="Times New Roman"/>
                <w:b/>
                <w:bCs/>
                <w:sz w:val="18"/>
                <w:szCs w:val="18"/>
              </w:rPr>
              <w:t xml:space="preserve"> </w:t>
            </w:r>
            <w:r>
              <w:rPr>
                <w:rFonts w:ascii="Times New Roman" w:hAnsi="Times New Roman" w:cs="Times New Roman"/>
                <w:bCs/>
                <w:sz w:val="18"/>
                <w:szCs w:val="18"/>
              </w:rPr>
              <w:t>Students will develop knowledge common to the liberal arts and sciences in the fields of arts, humanities, natural sciences, and social sciences. Students will also develop specialized knowledge and disciplinary expertise</w:t>
            </w:r>
          </w:p>
        </w:tc>
        <w:tc>
          <w:tcPr>
            <w:tcW w:w="5131" w:type="dxa"/>
          </w:tcPr>
          <w:p>
            <w:pPr>
              <w:pStyle w:val="TableParagraph"/>
              <w:spacing w:before="26" w:line="278" w:lineRule="auto"/>
              <w:ind w:right="210"/>
              <w:rPr>
                <w:rFonts w:ascii="Times New Roman" w:hAnsi="Times New Roman" w:cs="Times New Roman"/>
                <w:b/>
                <w:sz w:val="18"/>
                <w:szCs w:val="18"/>
              </w:rPr>
            </w:pPr>
            <w:r>
              <w:rPr>
                <w:rFonts w:ascii="Times New Roman" w:hAnsi="Times New Roman" w:cs="Times New Roman"/>
                <w:sz w:val="18"/>
                <w:szCs w:val="18"/>
              </w:rPr>
              <w:t xml:space="preserve">Students will develop frameworks for evaluating at least 3 – 5 competing investment alternatives based on where each fits within the risk-return continuum. </w:t>
            </w:r>
            <w:r>
              <w:rPr>
                <w:rFonts w:ascii="Times New Roman" w:hAnsi="Times New Roman" w:cs="Times New Roman"/>
                <w:b/>
                <w:sz w:val="18"/>
                <w:szCs w:val="18"/>
              </w:rPr>
              <w:t>[SLO 1]</w:t>
            </w:r>
          </w:p>
        </w:tc>
        <w:tc>
          <w:tcPr>
            <w:tcW w:w="2453" w:type="dxa"/>
          </w:tcPr>
          <w:p>
            <w:pPr>
              <w:pStyle w:val="TableParagraph"/>
              <w:ind w:left="100"/>
              <w:rPr>
                <w:rFonts w:ascii="Times New Roman" w:hAnsi="Times New Roman" w:cs="Times New Roman"/>
                <w:sz w:val="18"/>
                <w:szCs w:val="18"/>
              </w:rPr>
            </w:pPr>
            <w:r>
              <w:rPr>
                <w:rFonts w:ascii="Times New Roman" w:hAnsi="Times New Roman" w:cs="Times New Roman"/>
                <w:sz w:val="18"/>
                <w:szCs w:val="18"/>
              </w:rPr>
              <w:t>Project in Corporate Finance (FINA 401). Will create a 5-year financial forecast model in Excel (balance sheet, income statement, cash flow statement and financial ratios).</w:t>
            </w:r>
          </w:p>
          <w:p>
            <w:pPr>
              <w:pStyle w:val="TableParagraph"/>
              <w:ind w:left="100"/>
              <w:rPr>
                <w:rFonts w:ascii="Times New Roman" w:hAnsi="Times New Roman" w:cs="Times New Roman"/>
                <w:sz w:val="18"/>
                <w:szCs w:val="18"/>
              </w:rPr>
            </w:pPr>
          </w:p>
          <w:p>
            <w:pPr>
              <w:pStyle w:val="TableParagraph"/>
              <w:ind w:left="100"/>
              <w:rPr>
                <w:rFonts w:ascii="Times New Roman" w:hAnsi="Times New Roman" w:cs="Times New Roman"/>
                <w:sz w:val="18"/>
                <w:szCs w:val="18"/>
              </w:rPr>
            </w:pPr>
          </w:p>
        </w:tc>
        <w:tc>
          <w:tcPr>
            <w:tcW w:w="2047" w:type="dxa"/>
          </w:tcPr>
          <w:p>
            <w:pPr>
              <w:pStyle w:val="TableParagraph"/>
              <w:spacing w:before="26" w:line="278" w:lineRule="auto"/>
              <w:ind w:right="154"/>
              <w:rPr>
                <w:rFonts w:ascii="Times New Roman" w:hAnsi="Times New Roman" w:cs="Times New Roman"/>
                <w:sz w:val="18"/>
                <w:szCs w:val="18"/>
              </w:rPr>
            </w:pPr>
            <w:r>
              <w:rPr>
                <w:rFonts w:ascii="Times New Roman" w:hAnsi="Times New Roman" w:cs="Times New Roman"/>
                <w:sz w:val="18"/>
                <w:szCs w:val="18"/>
              </w:rPr>
              <w:t>At least 85% of students to achieve a score of equal to or greater than 4 out of 5 on select rubric items.</w:t>
            </w:r>
          </w:p>
        </w:tc>
        <w:tc>
          <w:tcPr>
            <w:tcW w:w="1440" w:type="dxa"/>
          </w:tcPr>
          <w:p>
            <w:pPr>
              <w:pStyle w:val="TableParagraph"/>
              <w:spacing w:line="206" w:lineRule="exact"/>
              <w:ind w:left="100" w:right="276"/>
              <w:rPr>
                <w:rFonts w:ascii="Times New Roman" w:hAnsi="Times New Roman" w:cs="Times New Roman"/>
                <w:sz w:val="18"/>
                <w:szCs w:val="18"/>
              </w:rPr>
            </w:pPr>
            <w:r>
              <w:rPr>
                <w:rFonts w:ascii="Times New Roman" w:hAnsi="Times New Roman" w:cs="Times New Roman"/>
                <w:sz w:val="18"/>
                <w:szCs w:val="18"/>
              </w:rPr>
              <w:t>Data collected and assessed every year.</w:t>
            </w:r>
          </w:p>
        </w:tc>
      </w:tr>
      <w:tr>
        <w:trPr>
          <w:trHeight w:hRule="exact" w:val="2080"/>
        </w:trPr>
        <w:tc>
          <w:tcPr>
            <w:tcW w:w="3420" w:type="dxa"/>
          </w:tcPr>
          <w:p>
            <w:pPr>
              <w:pStyle w:val="TableParagraph"/>
              <w:ind w:right="93"/>
              <w:rPr>
                <w:rFonts w:ascii="Times New Roman" w:hAnsi="Times New Roman" w:cs="Times New Roman"/>
                <w:b/>
                <w:sz w:val="18"/>
                <w:szCs w:val="18"/>
                <w:u w:val="single"/>
              </w:rPr>
            </w:pPr>
            <w:r>
              <w:rPr>
                <w:rFonts w:ascii="Times New Roman" w:hAnsi="Times New Roman" w:cs="Times New Roman"/>
                <w:b/>
                <w:bCs/>
                <w:sz w:val="18"/>
                <w:szCs w:val="18"/>
              </w:rPr>
              <w:t>2.</w:t>
            </w:r>
            <w:r>
              <w:rPr>
                <w:rFonts w:ascii="Times New Roman" w:hAnsi="Times New Roman" w:cs="Times New Roman"/>
                <w:b/>
                <w:bCs/>
                <w:sz w:val="18"/>
                <w:szCs w:val="18"/>
                <w:u w:val="single"/>
              </w:rPr>
              <w:t xml:space="preserve"> Breadth and depth of knowledge:</w:t>
            </w:r>
            <w:r>
              <w:rPr>
                <w:rFonts w:ascii="Times New Roman" w:hAnsi="Times New Roman" w:cs="Times New Roman"/>
                <w:b/>
                <w:bCs/>
                <w:sz w:val="18"/>
                <w:szCs w:val="18"/>
              </w:rPr>
              <w:t xml:space="preserve"> </w:t>
            </w:r>
            <w:r>
              <w:rPr>
                <w:rFonts w:ascii="Times New Roman" w:hAnsi="Times New Roman" w:cs="Times New Roman"/>
                <w:b/>
                <w:bCs/>
                <w:sz w:val="18"/>
                <w:szCs w:val="18"/>
              </w:rPr>
              <w:br/>
              <w:t xml:space="preserve">   </w:t>
            </w:r>
            <w:r>
              <w:rPr>
                <w:rFonts w:ascii="Times New Roman" w:hAnsi="Times New Roman" w:cs="Times New Roman"/>
                <w:bCs/>
                <w:sz w:val="18"/>
                <w:szCs w:val="18"/>
              </w:rPr>
              <w:t>(continued)</w:t>
            </w:r>
          </w:p>
        </w:tc>
        <w:tc>
          <w:tcPr>
            <w:tcW w:w="5131" w:type="dxa"/>
          </w:tcPr>
          <w:p>
            <w:pPr>
              <w:pStyle w:val="TableParagraph"/>
              <w:ind w:right="85"/>
              <w:rPr>
                <w:rFonts w:ascii="Times New Roman" w:hAnsi="Times New Roman" w:cs="Times New Roman"/>
                <w:sz w:val="18"/>
                <w:szCs w:val="18"/>
              </w:rPr>
            </w:pPr>
            <w:r>
              <w:rPr>
                <w:rFonts w:ascii="Times New Roman" w:hAnsi="Times New Roman" w:cs="Times New Roman"/>
                <w:sz w:val="18"/>
                <w:szCs w:val="18"/>
              </w:rPr>
              <w:t xml:space="preserve">A second &amp; third measure is utilized in the CORE </w:t>
            </w:r>
          </w:p>
          <w:p>
            <w:pPr>
              <w:pStyle w:val="TableParagraph"/>
              <w:numPr>
                <w:ilvl w:val="0"/>
                <w:numId w:val="23"/>
              </w:numPr>
              <w:ind w:right="85"/>
              <w:rPr>
                <w:rFonts w:ascii="Times New Roman" w:hAnsi="Times New Roman" w:cs="Times New Roman"/>
                <w:sz w:val="18"/>
                <w:szCs w:val="18"/>
              </w:rPr>
            </w:pPr>
            <w:r>
              <w:rPr>
                <w:rFonts w:ascii="Times New Roman" w:hAnsi="Times New Roman" w:cs="Times New Roman"/>
                <w:sz w:val="18"/>
                <w:szCs w:val="18"/>
              </w:rPr>
              <w:t xml:space="preserve">One is assessed in major field test; </w:t>
            </w:r>
          </w:p>
          <w:p>
            <w:pPr>
              <w:pStyle w:val="TableParagraph"/>
              <w:numPr>
                <w:ilvl w:val="0"/>
                <w:numId w:val="23"/>
              </w:numPr>
              <w:ind w:right="85"/>
              <w:rPr>
                <w:rFonts w:ascii="Times New Roman" w:hAnsi="Times New Roman" w:cs="Times New Roman"/>
                <w:sz w:val="18"/>
                <w:szCs w:val="18"/>
              </w:rPr>
            </w:pPr>
            <w:r>
              <w:rPr>
                <w:rFonts w:ascii="Times New Roman" w:hAnsi="Times New Roman" w:cs="Times New Roman"/>
                <w:sz w:val="18"/>
                <w:szCs w:val="18"/>
              </w:rPr>
              <w:t>Second is a marketing assessment given in MRKT 130</w:t>
            </w:r>
          </w:p>
        </w:tc>
        <w:tc>
          <w:tcPr>
            <w:tcW w:w="2453"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2047"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44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r>
      <w:tr>
        <w:trPr>
          <w:trHeight w:hRule="exact" w:val="973"/>
        </w:trPr>
        <w:tc>
          <w:tcPr>
            <w:tcW w:w="3420" w:type="dxa"/>
          </w:tcPr>
          <w:p>
            <w:pPr>
              <w:pStyle w:val="TableParagraph"/>
              <w:ind w:right="123"/>
              <w:rPr>
                <w:rFonts w:ascii="Times New Roman" w:hAnsi="Times New Roman" w:cs="Times New Roman"/>
                <w:sz w:val="18"/>
                <w:szCs w:val="18"/>
              </w:rPr>
            </w:pPr>
            <w:r>
              <w:rPr>
                <w:rFonts w:ascii="Times New Roman" w:hAnsi="Times New Roman" w:cs="Times New Roman"/>
                <w:b/>
                <w:sz w:val="18"/>
                <w:szCs w:val="18"/>
              </w:rPr>
              <w:t>3.</w:t>
            </w:r>
            <w:r>
              <w:rPr>
                <w:rFonts w:ascii="Times New Roman" w:hAnsi="Times New Roman" w:cs="Times New Roman"/>
                <w:b/>
                <w:sz w:val="18"/>
                <w:szCs w:val="18"/>
                <w:u w:val="single"/>
              </w:rPr>
              <w:t xml:space="preserve"> Faith knowledge &amp; application:</w:t>
            </w:r>
            <w:r>
              <w:rPr>
                <w:rFonts w:ascii="Times New Roman" w:hAnsi="Times New Roman" w:cs="Times New Roman"/>
                <w:b/>
                <w:sz w:val="18"/>
                <w:szCs w:val="18"/>
              </w:rPr>
              <w:t xml:space="preserve"> </w:t>
            </w:r>
            <w:r>
              <w:rPr>
                <w:rFonts w:ascii="Times New Roman" w:hAnsi="Times New Roman" w:cs="Times New Roman"/>
                <w:sz w:val="18"/>
                <w:szCs w:val="18"/>
              </w:rPr>
              <w:t>Students will develop informed and mature convictions about Christian faith and practice</w:t>
            </w:r>
          </w:p>
        </w:tc>
        <w:tc>
          <w:tcPr>
            <w:tcW w:w="5131"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2453"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2047"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44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r>
      <w:tr>
        <w:trPr>
          <w:trHeight w:hRule="exact" w:val="1250"/>
        </w:trPr>
        <w:tc>
          <w:tcPr>
            <w:tcW w:w="3420" w:type="dxa"/>
          </w:tcPr>
          <w:p>
            <w:pPr>
              <w:pStyle w:val="TableParagraph"/>
              <w:ind w:right="93"/>
              <w:rPr>
                <w:rFonts w:ascii="Times New Roman" w:hAnsi="Times New Roman" w:cs="Times New Roman"/>
                <w:sz w:val="18"/>
                <w:szCs w:val="18"/>
              </w:rPr>
            </w:pPr>
            <w:r>
              <w:rPr>
                <w:rFonts w:ascii="Times New Roman" w:hAnsi="Times New Roman" w:cs="Times New Roman"/>
                <w:b/>
                <w:bCs/>
                <w:sz w:val="18"/>
                <w:szCs w:val="18"/>
              </w:rPr>
              <w:t>4.</w:t>
            </w:r>
            <w:r>
              <w:rPr>
                <w:rFonts w:ascii="Times New Roman" w:hAnsi="Times New Roman" w:cs="Times New Roman"/>
                <w:b/>
                <w:bCs/>
                <w:sz w:val="18"/>
                <w:szCs w:val="18"/>
                <w:u w:val="single"/>
              </w:rPr>
              <w:t xml:space="preserve"> </w:t>
            </w:r>
            <w:r>
              <w:rPr>
                <w:rFonts w:ascii="Times New Roman" w:hAnsi="Times New Roman" w:cs="Times New Roman"/>
                <w:b/>
                <w:sz w:val="18"/>
                <w:szCs w:val="18"/>
                <w:u w:val="single"/>
              </w:rPr>
              <w:t>Specialized skills and scholarship:</w:t>
            </w:r>
            <w:r>
              <w:rPr>
                <w:rFonts w:ascii="Times New Roman" w:hAnsi="Times New Roman" w:cs="Times New Roman"/>
                <w:b/>
                <w:sz w:val="18"/>
                <w:szCs w:val="18"/>
              </w:rPr>
              <w:t xml:space="preserve"> </w:t>
            </w:r>
            <w:r>
              <w:rPr>
                <w:rFonts w:ascii="Times New Roman" w:hAnsi="Times New Roman" w:cs="Times New Roman"/>
                <w:sz w:val="18"/>
                <w:szCs w:val="18"/>
              </w:rPr>
              <w:t>Students will become proficient in the scholarship of their discipline and demonstrate specialized skills required for employment</w:t>
            </w:r>
          </w:p>
        </w:tc>
        <w:tc>
          <w:tcPr>
            <w:tcW w:w="5131" w:type="dxa"/>
          </w:tcPr>
          <w:p>
            <w:pPr>
              <w:pStyle w:val="TableParagraph"/>
              <w:ind w:right="85"/>
              <w:rPr>
                <w:rFonts w:ascii="Times New Roman" w:hAnsi="Times New Roman" w:cs="Times New Roman"/>
                <w:b/>
                <w:sz w:val="18"/>
                <w:szCs w:val="18"/>
              </w:rPr>
            </w:pPr>
            <w:r>
              <w:rPr>
                <w:rFonts w:ascii="Times New Roman" w:hAnsi="Times New Roman" w:cs="Times New Roman"/>
                <w:sz w:val="18"/>
                <w:szCs w:val="18"/>
              </w:rPr>
              <w:t xml:space="preserve">Students will prepare and present executive-quality presentations on financial matters using modern software applications that are used by professionals in the corporate world. </w:t>
            </w:r>
            <w:r>
              <w:rPr>
                <w:rFonts w:ascii="Times New Roman" w:hAnsi="Times New Roman" w:cs="Times New Roman"/>
                <w:b/>
                <w:sz w:val="18"/>
                <w:szCs w:val="18"/>
              </w:rPr>
              <w:t>[SLO 3]</w:t>
            </w:r>
          </w:p>
          <w:p>
            <w:pPr>
              <w:pStyle w:val="TableParagraph"/>
              <w:spacing w:before="3"/>
              <w:ind w:left="0"/>
              <w:rPr>
                <w:rFonts w:ascii="Times New Roman" w:hAnsi="Times New Roman" w:cs="Times New Roman"/>
                <w:b/>
                <w:sz w:val="18"/>
                <w:szCs w:val="18"/>
              </w:rPr>
            </w:pPr>
          </w:p>
          <w:p>
            <w:pPr>
              <w:pStyle w:val="TableParagraph"/>
              <w:rPr>
                <w:rFonts w:ascii="Times New Roman" w:hAnsi="Times New Roman" w:cs="Times New Roman"/>
                <w:sz w:val="18"/>
                <w:szCs w:val="18"/>
              </w:rPr>
            </w:pPr>
            <w:r>
              <w:rPr>
                <w:rFonts w:ascii="Times New Roman" w:hAnsi="Times New Roman" w:cs="Times New Roman"/>
                <w:sz w:val="18"/>
                <w:szCs w:val="18"/>
              </w:rPr>
              <w:t>Students will create financial models and forecasting tools.</w:t>
            </w:r>
          </w:p>
          <w:p>
            <w:pPr>
              <w:pStyle w:val="TableParagraph"/>
              <w:spacing w:before="3"/>
              <w:rPr>
                <w:rFonts w:ascii="Times New Roman" w:hAnsi="Times New Roman" w:cs="Times New Roman"/>
                <w:b/>
                <w:sz w:val="18"/>
                <w:szCs w:val="18"/>
              </w:rPr>
            </w:pPr>
            <w:r>
              <w:rPr>
                <w:rFonts w:ascii="Times New Roman" w:hAnsi="Times New Roman" w:cs="Times New Roman"/>
                <w:b/>
                <w:sz w:val="18"/>
                <w:szCs w:val="18"/>
              </w:rPr>
              <w:t>[SLO 4]</w:t>
            </w:r>
          </w:p>
        </w:tc>
        <w:tc>
          <w:tcPr>
            <w:tcW w:w="2453" w:type="dxa"/>
          </w:tcPr>
          <w:p>
            <w:pPr>
              <w:pStyle w:val="TableParagraph"/>
              <w:ind w:left="100" w:right="123"/>
              <w:rPr>
                <w:rFonts w:ascii="Times New Roman" w:hAnsi="Times New Roman" w:cs="Times New Roman"/>
                <w:sz w:val="18"/>
                <w:szCs w:val="18"/>
              </w:rPr>
            </w:pPr>
            <w:r>
              <w:rPr>
                <w:rFonts w:ascii="Times New Roman" w:hAnsi="Times New Roman" w:cs="Times New Roman"/>
                <w:sz w:val="18"/>
                <w:szCs w:val="18"/>
              </w:rPr>
              <w:t>Project in Security Analysis &amp; Valuation (FINA 410).</w:t>
            </w:r>
          </w:p>
          <w:p>
            <w:pPr>
              <w:pStyle w:val="TableParagraph"/>
              <w:spacing w:before="6"/>
              <w:ind w:left="100" w:right="113"/>
              <w:rPr>
                <w:rFonts w:ascii="Times New Roman" w:hAnsi="Times New Roman" w:cs="Times New Roman"/>
                <w:sz w:val="18"/>
                <w:szCs w:val="18"/>
              </w:rPr>
            </w:pPr>
            <w:r>
              <w:rPr>
                <w:rFonts w:ascii="Times New Roman" w:hAnsi="Times New Roman" w:cs="Times New Roman"/>
                <w:sz w:val="18"/>
                <w:szCs w:val="18"/>
              </w:rPr>
              <w:t xml:space="preserve">Students will author &amp; publish an investment research report on a self-publishing platform (i.e., </w:t>
            </w:r>
            <w:proofErr w:type="spellStart"/>
            <w:r>
              <w:rPr>
                <w:rFonts w:ascii="Times New Roman" w:hAnsi="Times New Roman" w:cs="Times New Roman"/>
                <w:sz w:val="18"/>
                <w:szCs w:val="18"/>
              </w:rPr>
              <w:t>SeekingAlpha</w:t>
            </w:r>
            <w:proofErr w:type="spellEnd"/>
            <w:r>
              <w:rPr>
                <w:rFonts w:ascii="Times New Roman" w:hAnsi="Times New Roman" w:cs="Times New Roman"/>
                <w:sz w:val="18"/>
                <w:szCs w:val="18"/>
              </w:rPr>
              <w:t>).</w:t>
            </w:r>
          </w:p>
        </w:tc>
        <w:tc>
          <w:tcPr>
            <w:tcW w:w="2047" w:type="dxa"/>
          </w:tcPr>
          <w:p>
            <w:pPr>
              <w:pStyle w:val="TableParagraph"/>
              <w:ind w:right="160"/>
              <w:rPr>
                <w:rFonts w:ascii="Times New Roman" w:hAnsi="Times New Roman" w:cs="Times New Roman"/>
                <w:sz w:val="18"/>
                <w:szCs w:val="18"/>
              </w:rPr>
            </w:pPr>
            <w:r>
              <w:rPr>
                <w:rFonts w:ascii="Times New Roman" w:hAnsi="Times New Roman" w:cs="Times New Roman"/>
                <w:sz w:val="18"/>
                <w:szCs w:val="18"/>
              </w:rPr>
              <w:t>85% mean score on FINA 410 project rubric items.</w:t>
            </w:r>
          </w:p>
        </w:tc>
        <w:tc>
          <w:tcPr>
            <w:tcW w:w="1440" w:type="dxa"/>
          </w:tcPr>
          <w:p>
            <w:pPr>
              <w:pStyle w:val="TableParagraph"/>
              <w:ind w:left="100" w:right="269"/>
              <w:jc w:val="both"/>
              <w:rPr>
                <w:rFonts w:ascii="Times New Roman" w:hAnsi="Times New Roman" w:cs="Times New Roman"/>
                <w:sz w:val="18"/>
                <w:szCs w:val="18"/>
              </w:rPr>
            </w:pPr>
            <w:r>
              <w:rPr>
                <w:rFonts w:ascii="Times New Roman" w:hAnsi="Times New Roman" w:cs="Times New Roman"/>
                <w:sz w:val="18"/>
                <w:szCs w:val="18"/>
              </w:rPr>
              <w:t>Data collected every year and assessed every other year.</w:t>
            </w:r>
          </w:p>
        </w:tc>
      </w:tr>
      <w:tr>
        <w:trPr>
          <w:trHeight w:hRule="exact" w:val="3737"/>
        </w:trPr>
        <w:tc>
          <w:tcPr>
            <w:tcW w:w="3420" w:type="dxa"/>
          </w:tcPr>
          <w:p>
            <w:pPr>
              <w:pStyle w:val="TableParagraph"/>
              <w:spacing w:before="1" w:line="206" w:lineRule="exact"/>
              <w:ind w:right="126"/>
              <w:rPr>
                <w:rFonts w:ascii="Times New Roman" w:hAnsi="Times New Roman" w:cs="Times New Roman"/>
                <w:sz w:val="18"/>
                <w:szCs w:val="18"/>
              </w:rPr>
            </w:pPr>
            <w:r>
              <w:rPr>
                <w:rFonts w:ascii="Times New Roman" w:hAnsi="Times New Roman" w:cs="Times New Roman"/>
                <w:b/>
                <w:bCs/>
                <w:sz w:val="18"/>
                <w:szCs w:val="18"/>
              </w:rPr>
              <w:lastRenderedPageBreak/>
              <w:t>4.</w:t>
            </w:r>
            <w:r>
              <w:rPr>
                <w:rFonts w:ascii="Times New Roman" w:hAnsi="Times New Roman" w:cs="Times New Roman"/>
                <w:b/>
                <w:bCs/>
                <w:sz w:val="18"/>
                <w:szCs w:val="18"/>
                <w:u w:val="single"/>
              </w:rPr>
              <w:t xml:space="preserve"> </w:t>
            </w:r>
            <w:r>
              <w:rPr>
                <w:rFonts w:ascii="Times New Roman" w:hAnsi="Times New Roman" w:cs="Times New Roman"/>
                <w:b/>
                <w:sz w:val="18"/>
                <w:szCs w:val="18"/>
                <w:u w:val="single"/>
              </w:rPr>
              <w:t>Specialized skills and scholarship:</w:t>
            </w:r>
            <w:r>
              <w:rPr>
                <w:rFonts w:ascii="Times New Roman" w:hAnsi="Times New Roman" w:cs="Times New Roman"/>
                <w:b/>
                <w:sz w:val="18"/>
                <w:szCs w:val="18"/>
              </w:rPr>
              <w:t xml:space="preserve">        </w:t>
            </w:r>
            <w:r>
              <w:rPr>
                <w:rFonts w:ascii="Times New Roman" w:hAnsi="Times New Roman" w:cs="Times New Roman"/>
                <w:b/>
                <w:sz w:val="18"/>
                <w:szCs w:val="18"/>
              </w:rPr>
              <w:br/>
              <w:t xml:space="preserve">   </w:t>
            </w:r>
            <w:r>
              <w:rPr>
                <w:rFonts w:ascii="Times New Roman" w:hAnsi="Times New Roman" w:cs="Times New Roman"/>
                <w:bCs/>
                <w:sz w:val="18"/>
                <w:szCs w:val="18"/>
              </w:rPr>
              <w:t>(continued)</w:t>
            </w:r>
          </w:p>
        </w:tc>
        <w:tc>
          <w:tcPr>
            <w:tcW w:w="5131" w:type="dxa"/>
          </w:tcPr>
          <w:p>
            <w:pPr>
              <w:pStyle w:val="TableParagraph"/>
              <w:spacing w:before="1" w:line="206" w:lineRule="exact"/>
              <w:ind w:right="210"/>
              <w:rPr>
                <w:rFonts w:ascii="Times New Roman" w:hAnsi="Times New Roman" w:cs="Times New Roman"/>
                <w:b/>
                <w:sz w:val="18"/>
                <w:szCs w:val="18"/>
              </w:rPr>
            </w:pPr>
            <w:r>
              <w:rPr>
                <w:rFonts w:ascii="Times New Roman" w:hAnsi="Times New Roman" w:cs="Times New Roman"/>
                <w:sz w:val="18"/>
                <w:szCs w:val="18"/>
              </w:rPr>
              <w:t xml:space="preserve">Students will develop frameworks for evaluating at least 3 – 5 competing investment alternatives based on where each fits within the risk-return continuum. </w:t>
            </w:r>
            <w:r>
              <w:rPr>
                <w:rFonts w:ascii="Times New Roman" w:hAnsi="Times New Roman" w:cs="Times New Roman"/>
                <w:b/>
                <w:sz w:val="18"/>
                <w:szCs w:val="18"/>
              </w:rPr>
              <w:t>[SLO 1]</w:t>
            </w:r>
          </w:p>
          <w:p>
            <w:pPr>
              <w:pStyle w:val="TableParagraph"/>
              <w:spacing w:before="10"/>
              <w:ind w:left="0"/>
              <w:rPr>
                <w:rFonts w:ascii="Times New Roman" w:hAnsi="Times New Roman" w:cs="Times New Roman"/>
                <w:b/>
                <w:sz w:val="18"/>
                <w:szCs w:val="18"/>
              </w:rPr>
            </w:pPr>
          </w:p>
          <w:p>
            <w:pPr>
              <w:pStyle w:val="TableParagraph"/>
              <w:ind w:right="129"/>
              <w:rPr>
                <w:rFonts w:ascii="Times New Roman" w:hAnsi="Times New Roman" w:cs="Times New Roman"/>
                <w:b/>
                <w:sz w:val="18"/>
                <w:szCs w:val="18"/>
              </w:rPr>
            </w:pPr>
            <w:r>
              <w:rPr>
                <w:rFonts w:ascii="Times New Roman" w:hAnsi="Times New Roman" w:cs="Times New Roman"/>
                <w:sz w:val="18"/>
                <w:szCs w:val="18"/>
              </w:rPr>
              <w:t xml:space="preserve">Students will apply financial theory to formulate potential solutions to case studies and current events in both personal and corporate finance. </w:t>
            </w:r>
            <w:r>
              <w:rPr>
                <w:rFonts w:ascii="Times New Roman" w:hAnsi="Times New Roman" w:cs="Times New Roman"/>
                <w:b/>
                <w:sz w:val="18"/>
                <w:szCs w:val="18"/>
              </w:rPr>
              <w:t>[SLO 2]</w:t>
            </w:r>
          </w:p>
          <w:p>
            <w:pPr>
              <w:pStyle w:val="TableParagraph"/>
              <w:ind w:left="0"/>
              <w:rPr>
                <w:rFonts w:ascii="Times New Roman" w:hAnsi="Times New Roman" w:cs="Times New Roman"/>
                <w:b/>
                <w:sz w:val="18"/>
                <w:szCs w:val="18"/>
              </w:rPr>
            </w:pPr>
          </w:p>
          <w:p>
            <w:pPr>
              <w:pStyle w:val="TableParagraph"/>
              <w:ind w:right="85"/>
              <w:rPr>
                <w:rFonts w:ascii="Times New Roman" w:hAnsi="Times New Roman" w:cs="Times New Roman"/>
                <w:b/>
                <w:sz w:val="18"/>
                <w:szCs w:val="18"/>
              </w:rPr>
            </w:pPr>
            <w:r>
              <w:rPr>
                <w:rFonts w:ascii="Times New Roman" w:hAnsi="Times New Roman" w:cs="Times New Roman"/>
                <w:sz w:val="18"/>
                <w:szCs w:val="18"/>
              </w:rPr>
              <w:t xml:space="preserve">Students will prepare and present executive-quality presentations on financial matters using modern software applications that are used by professionals in the corporate world. </w:t>
            </w:r>
            <w:r>
              <w:rPr>
                <w:rFonts w:ascii="Times New Roman" w:hAnsi="Times New Roman" w:cs="Times New Roman"/>
                <w:b/>
                <w:sz w:val="18"/>
                <w:szCs w:val="18"/>
              </w:rPr>
              <w:t>[SLO 3]</w:t>
            </w:r>
          </w:p>
          <w:p>
            <w:pPr>
              <w:pStyle w:val="TableParagraph"/>
              <w:ind w:left="0"/>
              <w:rPr>
                <w:rFonts w:ascii="Times New Roman" w:hAnsi="Times New Roman" w:cs="Times New Roman"/>
                <w:b/>
                <w:sz w:val="18"/>
                <w:szCs w:val="18"/>
              </w:rPr>
            </w:pPr>
          </w:p>
          <w:p>
            <w:pPr>
              <w:pStyle w:val="TableParagraph"/>
              <w:rPr>
                <w:rFonts w:ascii="Times New Roman" w:hAnsi="Times New Roman" w:cs="Times New Roman"/>
                <w:sz w:val="18"/>
                <w:szCs w:val="18"/>
              </w:rPr>
            </w:pPr>
            <w:r>
              <w:rPr>
                <w:rFonts w:ascii="Times New Roman" w:hAnsi="Times New Roman" w:cs="Times New Roman"/>
                <w:sz w:val="18"/>
                <w:szCs w:val="18"/>
              </w:rPr>
              <w:t>Students will develop financial models and forecasting tools.</w:t>
            </w:r>
          </w:p>
          <w:p>
            <w:pPr>
              <w:pStyle w:val="TableParagraph"/>
              <w:spacing w:before="3"/>
              <w:rPr>
                <w:rFonts w:ascii="Times New Roman" w:hAnsi="Times New Roman" w:cs="Times New Roman"/>
                <w:b/>
                <w:sz w:val="18"/>
                <w:szCs w:val="18"/>
              </w:rPr>
            </w:pPr>
            <w:r>
              <w:rPr>
                <w:rFonts w:ascii="Times New Roman" w:hAnsi="Times New Roman" w:cs="Times New Roman"/>
                <w:b/>
                <w:sz w:val="18"/>
                <w:szCs w:val="18"/>
              </w:rPr>
              <w:t>[SLO 4]</w:t>
            </w:r>
          </w:p>
          <w:p>
            <w:pPr>
              <w:pStyle w:val="TableParagraph"/>
              <w:spacing w:before="5"/>
              <w:ind w:left="0"/>
              <w:rPr>
                <w:rFonts w:ascii="Times New Roman" w:hAnsi="Times New Roman" w:cs="Times New Roman"/>
                <w:b/>
                <w:sz w:val="18"/>
                <w:szCs w:val="18"/>
              </w:rPr>
            </w:pPr>
          </w:p>
          <w:p>
            <w:pPr>
              <w:pStyle w:val="TableParagraph"/>
              <w:ind w:right="204"/>
              <w:rPr>
                <w:rFonts w:ascii="Times New Roman" w:hAnsi="Times New Roman" w:cs="Times New Roman"/>
                <w:b/>
                <w:sz w:val="18"/>
                <w:szCs w:val="18"/>
              </w:rPr>
            </w:pPr>
            <w:r>
              <w:rPr>
                <w:rFonts w:ascii="Times New Roman" w:hAnsi="Times New Roman" w:cs="Times New Roman"/>
                <w:sz w:val="18"/>
                <w:szCs w:val="18"/>
              </w:rPr>
              <w:t xml:space="preserve">Students will use Microsoft Excel to manipulate financial data and make calculations accurately and efficiently. </w:t>
            </w:r>
            <w:r>
              <w:rPr>
                <w:rFonts w:ascii="Times New Roman" w:hAnsi="Times New Roman" w:cs="Times New Roman"/>
                <w:b/>
                <w:sz w:val="18"/>
                <w:szCs w:val="18"/>
              </w:rPr>
              <w:t>[SLO 5]</w:t>
            </w:r>
          </w:p>
        </w:tc>
        <w:tc>
          <w:tcPr>
            <w:tcW w:w="2453" w:type="dxa"/>
          </w:tcPr>
          <w:p>
            <w:pPr>
              <w:pStyle w:val="TableParagraph"/>
              <w:spacing w:before="1" w:line="206" w:lineRule="exact"/>
              <w:ind w:left="100" w:right="508"/>
              <w:rPr>
                <w:rFonts w:ascii="Times New Roman" w:hAnsi="Times New Roman" w:cs="Times New Roman"/>
                <w:sz w:val="18"/>
                <w:szCs w:val="18"/>
              </w:rPr>
            </w:pPr>
            <w:r>
              <w:rPr>
                <w:rFonts w:ascii="Times New Roman" w:hAnsi="Times New Roman" w:cs="Times New Roman"/>
                <w:sz w:val="18"/>
                <w:szCs w:val="18"/>
              </w:rPr>
              <w:t>Measurement will vary depending on which path within the Finance major students choose to take:</w:t>
            </w:r>
          </w:p>
          <w:p>
            <w:pPr>
              <w:pStyle w:val="TableParagraph"/>
              <w:spacing w:line="276" w:lineRule="auto"/>
              <w:ind w:left="357" w:right="221" w:hanging="92"/>
              <w:rPr>
                <w:rFonts w:ascii="Times New Roman" w:hAnsi="Times New Roman" w:cs="Times New Roman"/>
                <w:sz w:val="18"/>
                <w:szCs w:val="18"/>
              </w:rPr>
            </w:pPr>
            <w:r>
              <w:rPr>
                <w:rFonts w:ascii="Times New Roman" w:hAnsi="Times New Roman" w:cs="Times New Roman"/>
                <w:sz w:val="18"/>
                <w:szCs w:val="18"/>
                <w:u w:val="single"/>
              </w:rPr>
              <w:t xml:space="preserve">Personal Finance track </w:t>
            </w:r>
            <w:r>
              <w:rPr>
                <w:rFonts w:ascii="Times New Roman" w:hAnsi="Times New Roman" w:cs="Times New Roman"/>
                <w:sz w:val="18"/>
                <w:szCs w:val="18"/>
              </w:rPr>
              <w:t>– eligible students will take the Series 7 Registered Representative exam (nationwide test administered by FINRA, a gov’t entity).</w:t>
            </w:r>
          </w:p>
          <w:p>
            <w:pPr>
              <w:pStyle w:val="TableParagraph"/>
              <w:spacing w:before="8"/>
              <w:ind w:left="0"/>
              <w:rPr>
                <w:rFonts w:ascii="Times New Roman" w:hAnsi="Times New Roman" w:cs="Times New Roman"/>
                <w:b/>
                <w:sz w:val="18"/>
                <w:szCs w:val="18"/>
              </w:rPr>
            </w:pPr>
          </w:p>
          <w:p>
            <w:pPr>
              <w:pStyle w:val="TableParagraph"/>
              <w:ind w:left="100" w:right="163"/>
              <w:rPr>
                <w:rFonts w:ascii="Times New Roman" w:hAnsi="Times New Roman" w:cs="Times New Roman"/>
                <w:sz w:val="18"/>
                <w:szCs w:val="18"/>
              </w:rPr>
            </w:pPr>
            <w:r>
              <w:rPr>
                <w:rFonts w:ascii="Times New Roman" w:hAnsi="Times New Roman" w:cs="Times New Roman"/>
                <w:sz w:val="18"/>
                <w:szCs w:val="18"/>
                <w:u w:val="single"/>
              </w:rPr>
              <w:t xml:space="preserve">Corporate Finance track </w:t>
            </w:r>
            <w:r>
              <w:rPr>
                <w:rFonts w:ascii="Times New Roman" w:hAnsi="Times New Roman" w:cs="Times New Roman"/>
                <w:sz w:val="18"/>
                <w:szCs w:val="18"/>
              </w:rPr>
              <w:t>– students will take the Bloomberg Financial Markets Concepts exam.</w:t>
            </w:r>
          </w:p>
        </w:tc>
        <w:tc>
          <w:tcPr>
            <w:tcW w:w="2047" w:type="dxa"/>
          </w:tcPr>
          <w:p>
            <w:pPr>
              <w:pStyle w:val="TableParagraph"/>
              <w:spacing w:before="1" w:line="206" w:lineRule="exact"/>
              <w:ind w:right="569"/>
              <w:rPr>
                <w:rFonts w:ascii="Times New Roman" w:hAnsi="Times New Roman" w:cs="Times New Roman"/>
                <w:sz w:val="18"/>
                <w:szCs w:val="18"/>
              </w:rPr>
            </w:pPr>
            <w:r>
              <w:rPr>
                <w:rFonts w:ascii="Times New Roman" w:hAnsi="Times New Roman" w:cs="Times New Roman"/>
                <w:sz w:val="18"/>
                <w:szCs w:val="18"/>
              </w:rPr>
              <w:t>Series 7 exam – 80% of students to</w:t>
            </w:r>
          </w:p>
          <w:p>
            <w:pPr>
              <w:pStyle w:val="TableParagraph"/>
              <w:ind w:right="230"/>
              <w:rPr>
                <w:rFonts w:ascii="Times New Roman" w:hAnsi="Times New Roman" w:cs="Times New Roman"/>
                <w:sz w:val="18"/>
                <w:szCs w:val="18"/>
              </w:rPr>
            </w:pPr>
            <w:r>
              <w:rPr>
                <w:rFonts w:ascii="Times New Roman" w:hAnsi="Times New Roman" w:cs="Times New Roman"/>
                <w:sz w:val="18"/>
                <w:szCs w:val="18"/>
              </w:rPr>
              <w:t>achieve a passing score on the exam (i.e., 72%; 180 correct responses out of 250 total questions)</w:t>
            </w:r>
          </w:p>
          <w:p>
            <w:pPr>
              <w:pStyle w:val="TableParagraph"/>
              <w:spacing w:before="3"/>
              <w:ind w:left="0"/>
              <w:rPr>
                <w:rFonts w:ascii="Times New Roman" w:hAnsi="Times New Roman" w:cs="Times New Roman"/>
                <w:b/>
                <w:sz w:val="18"/>
                <w:szCs w:val="18"/>
              </w:rPr>
            </w:pPr>
          </w:p>
          <w:p>
            <w:pPr>
              <w:pStyle w:val="TableParagraph"/>
              <w:ind w:right="130"/>
              <w:rPr>
                <w:rFonts w:ascii="Times New Roman" w:hAnsi="Times New Roman" w:cs="Times New Roman"/>
                <w:sz w:val="18"/>
                <w:szCs w:val="18"/>
              </w:rPr>
            </w:pPr>
            <w:r>
              <w:rPr>
                <w:rFonts w:ascii="Times New Roman" w:hAnsi="Times New Roman" w:cs="Times New Roman"/>
                <w:sz w:val="18"/>
                <w:szCs w:val="18"/>
              </w:rPr>
              <w:t>Bloomberg Financial Market Concepts exam</w:t>
            </w:r>
            <w:r>
              <w:rPr>
                <w:rFonts w:ascii="Times New Roman" w:hAnsi="Times New Roman" w:cs="Times New Roman"/>
                <w:spacing w:val="-9"/>
                <w:sz w:val="18"/>
                <w:szCs w:val="18"/>
              </w:rPr>
              <w:t xml:space="preserve"> </w:t>
            </w:r>
            <w:r>
              <w:rPr>
                <w:rFonts w:ascii="Times New Roman" w:hAnsi="Times New Roman" w:cs="Times New Roman"/>
                <w:sz w:val="18"/>
                <w:szCs w:val="18"/>
              </w:rPr>
              <w:t>– greater than 75% mean score on the overall exam for FINA 475 students, with a passing grade for each of the four modules of the exam for 90% of the students.</w:t>
            </w:r>
          </w:p>
        </w:tc>
        <w:tc>
          <w:tcPr>
            <w:tcW w:w="1440" w:type="dxa"/>
          </w:tcPr>
          <w:p>
            <w:pPr>
              <w:pStyle w:val="TableParagraph"/>
              <w:spacing w:before="1" w:line="206" w:lineRule="exact"/>
              <w:ind w:left="100" w:right="276"/>
              <w:rPr>
                <w:rFonts w:ascii="Times New Roman" w:hAnsi="Times New Roman" w:cs="Times New Roman"/>
                <w:sz w:val="18"/>
                <w:szCs w:val="18"/>
              </w:rPr>
            </w:pPr>
            <w:r>
              <w:rPr>
                <w:rFonts w:ascii="Times New Roman" w:hAnsi="Times New Roman" w:cs="Times New Roman"/>
                <w:sz w:val="18"/>
                <w:szCs w:val="18"/>
              </w:rPr>
              <w:t>Data collected and assessed every year.</w:t>
            </w:r>
          </w:p>
        </w:tc>
      </w:tr>
      <w:tr>
        <w:trPr>
          <w:trHeight w:hRule="exact" w:val="1253"/>
        </w:trPr>
        <w:tc>
          <w:tcPr>
            <w:tcW w:w="3420" w:type="dxa"/>
          </w:tcPr>
          <w:p>
            <w:pPr>
              <w:pStyle w:val="TableParagraph"/>
              <w:ind w:right="88"/>
              <w:rPr>
                <w:rFonts w:ascii="Times New Roman" w:hAnsi="Times New Roman" w:cs="Times New Roman"/>
                <w:b/>
                <w:sz w:val="18"/>
                <w:szCs w:val="18"/>
              </w:rPr>
            </w:pPr>
            <w:bookmarkStart w:id="0" w:name="_GoBack" w:colFirst="0" w:colLast="4"/>
            <w:r>
              <w:rPr>
                <w:rFonts w:ascii="Times New Roman" w:hAnsi="Times New Roman" w:cs="Times New Roman"/>
                <w:b/>
                <w:bCs/>
                <w:sz w:val="18"/>
                <w:szCs w:val="18"/>
              </w:rPr>
              <w:t>4.</w:t>
            </w:r>
            <w:r>
              <w:rPr>
                <w:rFonts w:ascii="Times New Roman" w:hAnsi="Times New Roman" w:cs="Times New Roman"/>
                <w:b/>
                <w:bCs/>
                <w:sz w:val="18"/>
                <w:szCs w:val="18"/>
                <w:u w:val="single"/>
              </w:rPr>
              <w:t xml:space="preserve"> </w:t>
            </w:r>
            <w:r>
              <w:rPr>
                <w:rFonts w:ascii="Times New Roman" w:hAnsi="Times New Roman" w:cs="Times New Roman"/>
                <w:b/>
                <w:sz w:val="18"/>
                <w:szCs w:val="18"/>
                <w:u w:val="single"/>
              </w:rPr>
              <w:t>Specialized skills and scholarship:</w:t>
            </w:r>
            <w:r>
              <w:rPr>
                <w:rFonts w:ascii="Times New Roman" w:hAnsi="Times New Roman" w:cs="Times New Roman"/>
                <w:b/>
                <w:sz w:val="18"/>
                <w:szCs w:val="18"/>
              </w:rPr>
              <w:t xml:space="preserve"> </w:t>
            </w:r>
            <w:r>
              <w:rPr>
                <w:rFonts w:ascii="Times New Roman" w:hAnsi="Times New Roman" w:cs="Times New Roman"/>
                <w:b/>
                <w:sz w:val="18"/>
                <w:szCs w:val="18"/>
              </w:rPr>
              <w:br/>
              <w:t xml:space="preserve">   </w:t>
            </w:r>
            <w:r>
              <w:rPr>
                <w:rFonts w:ascii="Times New Roman" w:hAnsi="Times New Roman" w:cs="Times New Roman"/>
                <w:bCs/>
                <w:sz w:val="18"/>
                <w:szCs w:val="18"/>
              </w:rPr>
              <w:t>(continued)</w:t>
            </w:r>
          </w:p>
        </w:tc>
        <w:tc>
          <w:tcPr>
            <w:tcW w:w="5131" w:type="dxa"/>
          </w:tcPr>
          <w:p>
            <w:pPr>
              <w:pStyle w:val="TableParagraph"/>
              <w:spacing w:line="223" w:lineRule="exact"/>
              <w:rPr>
                <w:rFonts w:ascii="Times New Roman" w:hAnsi="Times New Roman" w:cs="Times New Roman"/>
                <w:sz w:val="18"/>
                <w:szCs w:val="18"/>
              </w:rPr>
            </w:pPr>
            <w:r>
              <w:rPr>
                <w:rFonts w:ascii="Times New Roman" w:hAnsi="Times New Roman" w:cs="Times New Roman"/>
                <w:sz w:val="18"/>
                <w:szCs w:val="18"/>
              </w:rPr>
              <w:t>A third measure is assessed in the CORE.</w:t>
            </w:r>
          </w:p>
          <w:p>
            <w:pPr>
              <w:pStyle w:val="TableParagraph"/>
              <w:numPr>
                <w:ilvl w:val="0"/>
                <w:numId w:val="24"/>
              </w:numPr>
              <w:spacing w:line="223" w:lineRule="exact"/>
              <w:rPr>
                <w:rFonts w:ascii="Times New Roman" w:hAnsi="Times New Roman" w:cs="Times New Roman"/>
                <w:color w:val="1F497D"/>
                <w:sz w:val="18"/>
                <w:szCs w:val="18"/>
              </w:rPr>
            </w:pPr>
            <w:r>
              <w:rPr>
                <w:rFonts w:ascii="Times New Roman" w:hAnsi="Times New Roman" w:cs="Times New Roman"/>
                <w:sz w:val="18"/>
                <w:szCs w:val="18"/>
              </w:rPr>
              <w:t>Project completed in ACCT 242.</w:t>
            </w:r>
          </w:p>
        </w:tc>
        <w:tc>
          <w:tcPr>
            <w:tcW w:w="2453"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2047"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44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r>
      <w:tr>
        <w:trPr>
          <w:trHeight w:hRule="exact" w:val="775"/>
        </w:trPr>
        <w:tc>
          <w:tcPr>
            <w:tcW w:w="3420" w:type="dxa"/>
          </w:tcPr>
          <w:p>
            <w:pPr>
              <w:pStyle w:val="TableParagraph"/>
              <w:ind w:right="88"/>
              <w:rPr>
                <w:rFonts w:ascii="Times New Roman" w:hAnsi="Times New Roman" w:cs="Times New Roman"/>
                <w:sz w:val="18"/>
                <w:szCs w:val="18"/>
              </w:rPr>
            </w:pPr>
            <w:r>
              <w:rPr>
                <w:rFonts w:ascii="Times New Roman" w:hAnsi="Times New Roman" w:cs="Times New Roman"/>
                <w:b/>
                <w:sz w:val="18"/>
                <w:szCs w:val="18"/>
              </w:rPr>
              <w:t>5.</w:t>
            </w:r>
            <w:r>
              <w:rPr>
                <w:rFonts w:ascii="Times New Roman" w:hAnsi="Times New Roman" w:cs="Times New Roman"/>
                <w:b/>
                <w:sz w:val="18"/>
                <w:szCs w:val="18"/>
                <w:u w:val="single"/>
              </w:rPr>
              <w:t xml:space="preserve"> Intrapersonal Awareness:</w:t>
            </w:r>
            <w:r>
              <w:rPr>
                <w:rFonts w:ascii="Times New Roman" w:hAnsi="Times New Roman" w:cs="Times New Roman"/>
                <w:b/>
                <w:sz w:val="18"/>
                <w:szCs w:val="18"/>
              </w:rPr>
              <w:t xml:space="preserve"> </w:t>
            </w:r>
            <w:r>
              <w:rPr>
                <w:rFonts w:ascii="Times New Roman" w:hAnsi="Times New Roman" w:cs="Times New Roman"/>
                <w:sz w:val="18"/>
                <w:szCs w:val="18"/>
              </w:rPr>
              <w:t>Students will gain self-awareness of identity, character, and vocational calling</w:t>
            </w:r>
          </w:p>
        </w:tc>
        <w:tc>
          <w:tcPr>
            <w:tcW w:w="5131" w:type="dxa"/>
          </w:tcPr>
          <w:p>
            <w:pPr>
              <w:pStyle w:val="TableParagraph"/>
              <w:spacing w:line="223" w:lineRule="exact"/>
              <w:rPr>
                <w:rFonts w:ascii="Times New Roman" w:hAnsi="Times New Roman" w:cs="Times New Roman"/>
                <w:color w:val="1F497D"/>
                <w:sz w:val="18"/>
                <w:szCs w:val="18"/>
              </w:rPr>
            </w:pPr>
            <w:r>
              <w:rPr>
                <w:rFonts w:ascii="Times New Roman" w:hAnsi="Times New Roman" w:cs="Times New Roman"/>
                <w:color w:val="1F497D"/>
                <w:sz w:val="18"/>
                <w:szCs w:val="18"/>
              </w:rPr>
              <w:t>Assessed in CORE</w:t>
            </w:r>
          </w:p>
          <w:p>
            <w:pPr>
              <w:pStyle w:val="TableParagraph"/>
              <w:numPr>
                <w:ilvl w:val="0"/>
                <w:numId w:val="22"/>
              </w:numPr>
              <w:spacing w:line="223" w:lineRule="exact"/>
              <w:rPr>
                <w:rFonts w:ascii="Times New Roman" w:hAnsi="Times New Roman" w:cs="Times New Roman"/>
                <w:sz w:val="18"/>
                <w:szCs w:val="18"/>
              </w:rPr>
            </w:pPr>
            <w:r>
              <w:rPr>
                <w:rFonts w:ascii="Times New Roman" w:hAnsi="Times New Roman" w:cs="Times New Roman"/>
                <w:sz w:val="18"/>
                <w:szCs w:val="18"/>
              </w:rPr>
              <w:t>Two measures assessed in CORE</w:t>
            </w:r>
          </w:p>
        </w:tc>
        <w:tc>
          <w:tcPr>
            <w:tcW w:w="2453"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2047"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44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r>
      <w:bookmarkEnd w:id="0"/>
    </w:tbl>
    <w:p/>
    <w:sectPr>
      <w:headerReference w:type="default" r:id="rId7"/>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Management and Business</w:t>
    </w:r>
    <w:r>
      <w:tab/>
    </w:r>
    <w:r>
      <w:tab/>
      <w:t>Finance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1EC"/>
    <w:multiLevelType w:val="hybridMultilevel"/>
    <w:tmpl w:val="5EB4AE3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0D4115B5"/>
    <w:multiLevelType w:val="hybridMultilevel"/>
    <w:tmpl w:val="0FAA5A9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151C0C84"/>
    <w:multiLevelType w:val="hybridMultilevel"/>
    <w:tmpl w:val="D16A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5363"/>
    <w:multiLevelType w:val="hybridMultilevel"/>
    <w:tmpl w:val="89F0386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26D61913"/>
    <w:multiLevelType w:val="hybridMultilevel"/>
    <w:tmpl w:val="3276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E5ABD"/>
    <w:multiLevelType w:val="hybridMultilevel"/>
    <w:tmpl w:val="B7E44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E201F3"/>
    <w:multiLevelType w:val="hybridMultilevel"/>
    <w:tmpl w:val="CAE6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86A0B"/>
    <w:multiLevelType w:val="hybridMultilevel"/>
    <w:tmpl w:val="F99C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32574"/>
    <w:multiLevelType w:val="hybridMultilevel"/>
    <w:tmpl w:val="2068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45A2A"/>
    <w:multiLevelType w:val="hybridMultilevel"/>
    <w:tmpl w:val="7F6CEFB2"/>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0" w15:restartNumberingAfterBreak="0">
    <w:nsid w:val="42B30C66"/>
    <w:multiLevelType w:val="hybridMultilevel"/>
    <w:tmpl w:val="B7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B1DCC"/>
    <w:multiLevelType w:val="hybridMultilevel"/>
    <w:tmpl w:val="8852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95B6A"/>
    <w:multiLevelType w:val="hybridMultilevel"/>
    <w:tmpl w:val="6AE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B2CF8"/>
    <w:multiLevelType w:val="hybridMultilevel"/>
    <w:tmpl w:val="B9BA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72E4F"/>
    <w:multiLevelType w:val="hybridMultilevel"/>
    <w:tmpl w:val="B5D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75205"/>
    <w:multiLevelType w:val="hybridMultilevel"/>
    <w:tmpl w:val="A216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D1DC2"/>
    <w:multiLevelType w:val="hybridMultilevel"/>
    <w:tmpl w:val="882A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D74AA"/>
    <w:multiLevelType w:val="hybridMultilevel"/>
    <w:tmpl w:val="C80E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A0626"/>
    <w:multiLevelType w:val="hybridMultilevel"/>
    <w:tmpl w:val="EA24F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4598D"/>
    <w:multiLevelType w:val="hybridMultilevel"/>
    <w:tmpl w:val="7B560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E3A0D"/>
    <w:multiLevelType w:val="hybridMultilevel"/>
    <w:tmpl w:val="5EC8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83AB7"/>
    <w:multiLevelType w:val="hybridMultilevel"/>
    <w:tmpl w:val="855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B4D38"/>
    <w:multiLevelType w:val="hybridMultilevel"/>
    <w:tmpl w:val="2DB0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0"/>
  </w:num>
  <w:num w:numId="5">
    <w:abstractNumId w:val="18"/>
  </w:num>
  <w:num w:numId="6">
    <w:abstractNumId w:val="14"/>
  </w:num>
  <w:num w:numId="7">
    <w:abstractNumId w:val="6"/>
  </w:num>
  <w:num w:numId="8">
    <w:abstractNumId w:val="19"/>
  </w:num>
  <w:num w:numId="9">
    <w:abstractNumId w:val="20"/>
  </w:num>
  <w:num w:numId="10">
    <w:abstractNumId w:val="9"/>
  </w:num>
  <w:num w:numId="11">
    <w:abstractNumId w:val="16"/>
  </w:num>
  <w:num w:numId="12">
    <w:abstractNumId w:val="8"/>
  </w:num>
  <w:num w:numId="13">
    <w:abstractNumId w:val="21"/>
  </w:num>
  <w:num w:numId="14">
    <w:abstractNumId w:val="4"/>
  </w:num>
  <w:num w:numId="15">
    <w:abstractNumId w:val="7"/>
  </w:num>
  <w:num w:numId="16">
    <w:abstractNumId w:val="22"/>
  </w:num>
  <w:num w:numId="17">
    <w:abstractNumId w:val="11"/>
  </w:num>
  <w:num w:numId="18">
    <w:abstractNumId w:val="15"/>
  </w:num>
  <w:num w:numId="19">
    <w:abstractNumId w:val="23"/>
  </w:num>
  <w:num w:numId="20">
    <w:abstractNumId w:val="17"/>
  </w:num>
  <w:num w:numId="21">
    <w:abstractNumId w:val="2"/>
  </w:num>
  <w:num w:numId="22">
    <w:abstractNumId w:val="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875FB-3B2C-45A1-9CCD-8FB5F070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pPr>
      <w:widowControl w:val="0"/>
      <w:autoSpaceDE w:val="0"/>
      <w:autoSpaceDN w:val="0"/>
      <w:ind w:left="480" w:hanging="361"/>
      <w:outlineLvl w:val="2"/>
    </w:pPr>
    <w:rPr>
      <w:rFonts w:ascii="Calibri" w:eastAsia="Calibri" w:hAnsi="Calibri" w:cs="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cs="Times New Roman"/>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1"/>
    <w:rPr>
      <w:rFonts w:ascii="Calibri" w:eastAsia="Calibri" w:hAnsi="Calibri" w:cs="Calibri"/>
      <w:b/>
      <w:bCs/>
      <w:sz w:val="22"/>
    </w:rPr>
  </w:style>
  <w:style w:type="paragraph" w:customStyle="1" w:styleId="TableParagraph">
    <w:name w:val="Table Paragraph"/>
    <w:basedOn w:val="Normal"/>
    <w:uiPriority w:val="1"/>
    <w:qFormat/>
    <w:pPr>
      <w:widowControl w:val="0"/>
      <w:autoSpaceDE w:val="0"/>
      <w:autoSpaceDN w:val="0"/>
      <w:ind w:left="103"/>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063">
      <w:bodyDiv w:val="1"/>
      <w:marLeft w:val="0"/>
      <w:marRight w:val="0"/>
      <w:marTop w:val="0"/>
      <w:marBottom w:val="0"/>
      <w:divBdr>
        <w:top w:val="none" w:sz="0" w:space="0" w:color="auto"/>
        <w:left w:val="none" w:sz="0" w:space="0" w:color="auto"/>
        <w:bottom w:val="none" w:sz="0" w:space="0" w:color="auto"/>
        <w:right w:val="none" w:sz="0" w:space="0" w:color="auto"/>
      </w:divBdr>
    </w:div>
    <w:div w:id="320735918">
      <w:bodyDiv w:val="1"/>
      <w:marLeft w:val="0"/>
      <w:marRight w:val="0"/>
      <w:marTop w:val="0"/>
      <w:marBottom w:val="0"/>
      <w:divBdr>
        <w:top w:val="none" w:sz="0" w:space="0" w:color="auto"/>
        <w:left w:val="none" w:sz="0" w:space="0" w:color="auto"/>
        <w:bottom w:val="none" w:sz="0" w:space="0" w:color="auto"/>
        <w:right w:val="none" w:sz="0" w:space="0" w:color="auto"/>
      </w:divBdr>
    </w:div>
    <w:div w:id="1744330611">
      <w:bodyDiv w:val="1"/>
      <w:marLeft w:val="0"/>
      <w:marRight w:val="0"/>
      <w:marTop w:val="0"/>
      <w:marBottom w:val="0"/>
      <w:divBdr>
        <w:top w:val="none" w:sz="0" w:space="0" w:color="auto"/>
        <w:left w:val="none" w:sz="0" w:space="0" w:color="auto"/>
        <w:bottom w:val="none" w:sz="0" w:space="0" w:color="auto"/>
        <w:right w:val="none" w:sz="0" w:space="0" w:color="auto"/>
      </w:divBdr>
    </w:div>
    <w:div w:id="1921668680">
      <w:bodyDiv w:val="1"/>
      <w:marLeft w:val="0"/>
      <w:marRight w:val="0"/>
      <w:marTop w:val="0"/>
      <w:marBottom w:val="0"/>
      <w:divBdr>
        <w:top w:val="none" w:sz="0" w:space="0" w:color="auto"/>
        <w:left w:val="none" w:sz="0" w:space="0" w:color="auto"/>
        <w:bottom w:val="none" w:sz="0" w:space="0" w:color="auto"/>
        <w:right w:val="none" w:sz="0" w:space="0" w:color="auto"/>
      </w:divBdr>
    </w:div>
    <w:div w:id="19682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Babyak, Andrew</cp:lastModifiedBy>
  <cp:revision>2</cp:revision>
  <cp:lastPrinted>2011-12-01T15:33:00Z</cp:lastPrinted>
  <dcterms:created xsi:type="dcterms:W3CDTF">2017-05-24T16:42:00Z</dcterms:created>
  <dcterms:modified xsi:type="dcterms:W3CDTF">2017-05-24T16:42:00Z</dcterms:modified>
</cp:coreProperties>
</file>