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t>Miss</w:t>
      </w:r>
      <w:bookmarkStart w:id="0" w:name="_GoBack"/>
      <w:bookmarkEnd w:id="0"/>
      <w:r>
        <w:t>ion: The mission of the Department of Business is to graduate excellent students of exemplary character who have a Christian worldview, a global perspective, and a passion to serve Christ in the marketplace and the world.</w:t>
      </w:r>
    </w:p>
    <w:p/>
    <w:tbl>
      <w:tblPr>
        <w:tblStyle w:val="TableGrid"/>
        <w:tblW w:w="18720" w:type="dxa"/>
        <w:tblInd w:w="-702" w:type="dxa"/>
        <w:tblLayout w:type="fixed"/>
        <w:tblLook w:val="04A0" w:firstRow="1" w:lastRow="0" w:firstColumn="1" w:lastColumn="0" w:noHBand="0" w:noVBand="1"/>
      </w:tblPr>
      <w:tblGrid>
        <w:gridCol w:w="4050"/>
        <w:gridCol w:w="4500"/>
        <w:gridCol w:w="1800"/>
        <w:gridCol w:w="1980"/>
        <w:gridCol w:w="1890"/>
        <w:gridCol w:w="1260"/>
        <w:gridCol w:w="1710"/>
        <w:gridCol w:w="1530"/>
      </w:tblGrid>
      <w:tr>
        <w:trPr>
          <w:tblHeader/>
        </w:trPr>
        <w:tc>
          <w:tcPr>
            <w:tcW w:w="4050" w:type="dxa"/>
            <w:tcBorders>
              <w:bottom w:val="single" w:sz="4" w:space="0" w:color="auto"/>
            </w:tcBorders>
          </w:tcPr>
          <w:p>
            <w:pPr>
              <w:rPr>
                <w:rFonts w:ascii="Arial Narrow" w:hAnsi="Arial Narrow"/>
                <w:b/>
                <w:sz w:val="20"/>
                <w:szCs w:val="20"/>
              </w:rPr>
            </w:pPr>
            <w:r>
              <w:rPr>
                <w:rFonts w:ascii="Arial Narrow" w:hAnsi="Arial Narrow"/>
                <w:b/>
                <w:sz w:val="20"/>
                <w:szCs w:val="20"/>
              </w:rPr>
              <w:t>CWEO Category</w:t>
            </w:r>
          </w:p>
        </w:tc>
        <w:tc>
          <w:tcPr>
            <w:tcW w:w="4500" w:type="dxa"/>
            <w:tcBorders>
              <w:bottom w:val="single" w:sz="4" w:space="0" w:color="auto"/>
            </w:tcBorders>
          </w:tcPr>
          <w:p>
            <w:pPr>
              <w:rPr>
                <w:rFonts w:ascii="Arial Narrow" w:hAnsi="Arial Narrow"/>
                <w:b/>
                <w:sz w:val="20"/>
                <w:szCs w:val="20"/>
              </w:rPr>
            </w:pPr>
            <w:r>
              <w:rPr>
                <w:rFonts w:ascii="Arial Narrow" w:hAnsi="Arial Narrow"/>
                <w:b/>
                <w:sz w:val="20"/>
                <w:szCs w:val="20"/>
              </w:rPr>
              <w:t xml:space="preserve">Student Learning Outcome / Objective </w:t>
            </w:r>
            <w:r>
              <w:rPr>
                <w:rFonts w:ascii="Arial Narrow" w:hAnsi="Arial Narrow"/>
                <w:sz w:val="20"/>
                <w:szCs w:val="20"/>
              </w:rPr>
              <w:t>(Students will demonstrate the ability to +[Bloom’s action verb]+ [something]</w:t>
            </w:r>
          </w:p>
          <w:p>
            <w:pPr>
              <w:rPr>
                <w:rFonts w:ascii="Arial Narrow" w:hAnsi="Arial Narrow"/>
                <w:sz w:val="20"/>
                <w:szCs w:val="20"/>
              </w:rPr>
            </w:pPr>
          </w:p>
        </w:tc>
        <w:tc>
          <w:tcPr>
            <w:tcW w:w="1800" w:type="dxa"/>
            <w:tcBorders>
              <w:bottom w:val="single" w:sz="4" w:space="0" w:color="auto"/>
            </w:tcBorders>
          </w:tcPr>
          <w:p>
            <w:pPr>
              <w:rPr>
                <w:rFonts w:ascii="Arial Narrow" w:hAnsi="Arial Narrow"/>
                <w:b/>
                <w:sz w:val="20"/>
                <w:szCs w:val="20"/>
              </w:rPr>
            </w:pPr>
            <w:r>
              <w:rPr>
                <w:rFonts w:ascii="Arial Narrow" w:hAnsi="Arial Narrow"/>
                <w:b/>
                <w:sz w:val="20"/>
                <w:szCs w:val="20"/>
              </w:rPr>
              <w:t xml:space="preserve">Courses </w:t>
            </w:r>
            <w:r>
              <w:rPr>
                <w:rFonts w:ascii="Arial Narrow" w:hAnsi="Arial Narrow"/>
                <w:sz w:val="20"/>
                <w:szCs w:val="20"/>
              </w:rPr>
              <w:t xml:space="preserve">in which </w:t>
            </w:r>
            <w:r>
              <w:rPr>
                <w:rFonts w:ascii="Arial Narrow" w:hAnsi="Arial Narrow"/>
                <w:b/>
                <w:sz w:val="20"/>
                <w:szCs w:val="20"/>
              </w:rPr>
              <w:t>students receive feedback</w:t>
            </w:r>
            <w:r>
              <w:rPr>
                <w:rFonts w:ascii="Arial Narrow" w:hAnsi="Arial Narrow"/>
                <w:sz w:val="20"/>
                <w:szCs w:val="20"/>
              </w:rPr>
              <w:t xml:space="preserve"> on this learning objective.</w:t>
            </w:r>
          </w:p>
        </w:tc>
        <w:tc>
          <w:tcPr>
            <w:tcW w:w="1980" w:type="dxa"/>
            <w:tcBorders>
              <w:bottom w:val="single" w:sz="4" w:space="0" w:color="auto"/>
            </w:tcBorders>
          </w:tcPr>
          <w:p>
            <w:pPr>
              <w:rPr>
                <w:rFonts w:ascii="Arial Narrow" w:hAnsi="Arial Narrow"/>
                <w:sz w:val="20"/>
                <w:szCs w:val="20"/>
              </w:rPr>
            </w:pPr>
            <w:r>
              <w:rPr>
                <w:rFonts w:ascii="Arial Narrow" w:hAnsi="Arial Narrow"/>
                <w:b/>
                <w:sz w:val="20"/>
                <w:szCs w:val="20"/>
              </w:rPr>
              <w:t>Measure</w:t>
            </w:r>
            <w:r>
              <w:rPr>
                <w:rFonts w:ascii="Arial Narrow" w:hAnsi="Arial Narrow"/>
                <w:sz w:val="20"/>
                <w:szCs w:val="20"/>
              </w:rPr>
              <w:t xml:space="preserve"> (Method to gauge achievement of expected results</w:t>
            </w:r>
          </w:p>
        </w:tc>
        <w:tc>
          <w:tcPr>
            <w:tcW w:w="1890" w:type="dxa"/>
            <w:tcBorders>
              <w:bottom w:val="single" w:sz="4" w:space="0" w:color="auto"/>
            </w:tcBorders>
          </w:tcPr>
          <w:p>
            <w:pPr>
              <w:rPr>
                <w:rFonts w:ascii="Arial Narrow" w:hAnsi="Arial Narrow"/>
                <w:sz w:val="20"/>
                <w:szCs w:val="20"/>
              </w:rPr>
            </w:pPr>
            <w:r>
              <w:rPr>
                <w:rFonts w:ascii="Arial Narrow" w:hAnsi="Arial Narrow"/>
                <w:b/>
                <w:sz w:val="20"/>
                <w:szCs w:val="20"/>
              </w:rPr>
              <w:t>Target</w:t>
            </w:r>
            <w:r>
              <w:rPr>
                <w:rFonts w:ascii="Arial Narrow" w:hAnsi="Arial Narrow"/>
                <w:sz w:val="20"/>
                <w:szCs w:val="20"/>
              </w:rPr>
              <w:t xml:space="preserve"> (Overall level for satisfactory performance)</w:t>
            </w:r>
          </w:p>
        </w:tc>
        <w:tc>
          <w:tcPr>
            <w:tcW w:w="1260" w:type="dxa"/>
            <w:tcBorders>
              <w:bottom w:val="single" w:sz="4" w:space="0" w:color="auto"/>
            </w:tcBorders>
          </w:tcPr>
          <w:p>
            <w:pPr>
              <w:rPr>
                <w:rFonts w:ascii="Arial Narrow" w:hAnsi="Arial Narrow"/>
                <w:sz w:val="20"/>
                <w:szCs w:val="20"/>
              </w:rPr>
            </w:pPr>
            <w:r>
              <w:rPr>
                <w:rFonts w:ascii="Arial Narrow" w:hAnsi="Arial Narrow"/>
                <w:b/>
                <w:sz w:val="20"/>
                <w:szCs w:val="20"/>
              </w:rPr>
              <w:t xml:space="preserve">Timeline </w:t>
            </w:r>
            <w:r>
              <w:rPr>
                <w:rFonts w:ascii="Arial Narrow" w:hAnsi="Arial Narrow"/>
                <w:sz w:val="20"/>
                <w:szCs w:val="20"/>
              </w:rPr>
              <w:t>(How often will data be collected?)</w:t>
            </w:r>
          </w:p>
        </w:tc>
        <w:tc>
          <w:tcPr>
            <w:tcW w:w="1710" w:type="dxa"/>
            <w:tcBorders>
              <w:bottom w:val="single" w:sz="4" w:space="0" w:color="auto"/>
            </w:tcBorders>
          </w:tcPr>
          <w:p>
            <w:pPr>
              <w:rPr>
                <w:rFonts w:ascii="Arial Narrow" w:hAnsi="Arial Narrow"/>
                <w:sz w:val="20"/>
                <w:szCs w:val="20"/>
              </w:rPr>
            </w:pPr>
            <w:r>
              <w:rPr>
                <w:rFonts w:ascii="Arial Narrow" w:hAnsi="Arial Narrow"/>
                <w:b/>
                <w:sz w:val="20"/>
                <w:szCs w:val="20"/>
              </w:rPr>
              <w:t>Finding</w:t>
            </w:r>
            <w:r>
              <w:rPr>
                <w:rFonts w:ascii="Arial Narrow" w:hAnsi="Arial Narrow"/>
                <w:sz w:val="20"/>
                <w:szCs w:val="20"/>
              </w:rPr>
              <w:t xml:space="preserve"> (Assessment results)</w:t>
            </w:r>
          </w:p>
        </w:tc>
        <w:tc>
          <w:tcPr>
            <w:tcW w:w="1530" w:type="dxa"/>
            <w:tcBorders>
              <w:bottom w:val="single" w:sz="4" w:space="0" w:color="auto"/>
            </w:tcBorders>
          </w:tcPr>
          <w:p>
            <w:pPr>
              <w:rPr>
                <w:rFonts w:ascii="Arial Narrow" w:hAnsi="Arial Narrow"/>
                <w:b/>
                <w:sz w:val="20"/>
                <w:szCs w:val="20"/>
              </w:rPr>
            </w:pPr>
            <w:r>
              <w:rPr>
                <w:rFonts w:ascii="Arial Narrow" w:hAnsi="Arial Narrow"/>
                <w:b/>
                <w:sz w:val="20"/>
                <w:szCs w:val="20"/>
              </w:rPr>
              <w:t>Action Plan</w:t>
            </w:r>
            <w:r>
              <w:rPr>
                <w:rFonts w:ascii="Arial Narrow" w:hAnsi="Arial Narrow"/>
                <w:sz w:val="20"/>
                <w:szCs w:val="20"/>
              </w:rPr>
              <w:t xml:space="preserve"> (Based on the findings, what do you plan to do?)</w:t>
            </w:r>
          </w:p>
        </w:tc>
      </w:tr>
      <w:tr>
        <w:tc>
          <w:tcPr>
            <w:tcW w:w="4050" w:type="dxa"/>
          </w:tcPr>
          <w:p>
            <w:pPr>
              <w:rPr>
                <w:rFonts w:cs="Times New Roman"/>
                <w:sz w:val="20"/>
                <w:szCs w:val="20"/>
              </w:rPr>
            </w:pPr>
            <w:r>
              <w:rPr>
                <w:rFonts w:cs="Times New Roman"/>
                <w:b/>
                <w:bCs/>
                <w:sz w:val="20"/>
                <w:szCs w:val="20"/>
                <w:u w:val="single"/>
              </w:rPr>
              <w:t>Breadth and depth of knowledge:</w:t>
            </w:r>
            <w:r>
              <w:rPr>
                <w:rFonts w:cs="Times New Roman"/>
                <w:b/>
                <w:bCs/>
                <w:sz w:val="20"/>
                <w:szCs w:val="20"/>
              </w:rPr>
              <w:t xml:space="preserve"> Students will develop knowledge common to the liberal arts and sciences in the fields of arts, humanities, natural sciences, and social sciences. Students will also develop specialized knowledge and disciplinary expertise</w:t>
            </w:r>
          </w:p>
        </w:tc>
        <w:tc>
          <w:tcPr>
            <w:tcW w:w="4500" w:type="dxa"/>
          </w:tcPr>
          <w:p>
            <w:pPr>
              <w:spacing w:line="240" w:lineRule="exact"/>
              <w:rPr>
                <w:rFonts w:cs="Times New Roman"/>
                <w:sz w:val="20"/>
                <w:szCs w:val="20"/>
              </w:rPr>
            </w:pPr>
            <w:r>
              <w:rPr>
                <w:rFonts w:cs="Times New Roman"/>
                <w:sz w:val="20"/>
                <w:szCs w:val="20"/>
              </w:rPr>
              <w:t>Students will apply foundational content related to Acquiring, Growing, and Keeping a pool of qualified and satisfied employees.</w:t>
            </w:r>
          </w:p>
          <w:p>
            <w:pPr>
              <w:spacing w:line="240" w:lineRule="exact"/>
              <w:rPr>
                <w:rFonts w:cs="Times New Roman"/>
                <w:sz w:val="20"/>
                <w:szCs w:val="20"/>
              </w:rPr>
            </w:pPr>
          </w:p>
          <w:p>
            <w:pPr>
              <w:spacing w:line="240" w:lineRule="exact"/>
              <w:rPr>
                <w:rFonts w:cs="Times New Roman"/>
                <w:sz w:val="20"/>
                <w:szCs w:val="20"/>
              </w:rPr>
            </w:pPr>
          </w:p>
        </w:tc>
        <w:tc>
          <w:tcPr>
            <w:tcW w:w="1800" w:type="dxa"/>
          </w:tcPr>
          <w:p>
            <w:pPr>
              <w:rPr>
                <w:rFonts w:cs="Times New Roman"/>
                <w:sz w:val="20"/>
                <w:szCs w:val="20"/>
              </w:rPr>
            </w:pPr>
            <w:r>
              <w:rPr>
                <w:rFonts w:cs="Times New Roman"/>
                <w:b/>
                <w:sz w:val="20"/>
                <w:szCs w:val="20"/>
              </w:rPr>
              <w:t>BUSA 120, HRM 301, HRM 311, HRM 312</w:t>
            </w:r>
            <w:r>
              <w:rPr>
                <w:rFonts w:cs="Times New Roman"/>
                <w:sz w:val="20"/>
                <w:szCs w:val="20"/>
              </w:rPr>
              <w:t>, ECON 315, HRM 346, HRM 351, HRM 352, HRM 356</w:t>
            </w:r>
          </w:p>
        </w:tc>
        <w:tc>
          <w:tcPr>
            <w:tcW w:w="1980" w:type="dxa"/>
          </w:tcPr>
          <w:p>
            <w:pPr>
              <w:rPr>
                <w:rFonts w:cs="Times New Roman"/>
                <w:sz w:val="20"/>
                <w:szCs w:val="20"/>
              </w:rPr>
            </w:pPr>
            <w:r>
              <w:rPr>
                <w:rFonts w:cs="Times New Roman"/>
                <w:sz w:val="20"/>
                <w:szCs w:val="20"/>
              </w:rPr>
              <w:t>Set of questions within the HRM 301 final exam.</w:t>
            </w:r>
          </w:p>
        </w:tc>
        <w:tc>
          <w:tcPr>
            <w:tcW w:w="1890" w:type="dxa"/>
          </w:tcPr>
          <w:p>
            <w:pPr>
              <w:spacing w:line="240" w:lineRule="exact"/>
              <w:rPr>
                <w:rFonts w:cs="Times New Roman"/>
                <w:sz w:val="20"/>
                <w:szCs w:val="20"/>
              </w:rPr>
            </w:pPr>
            <w:r>
              <w:rPr>
                <w:rFonts w:cs="Times New Roman"/>
                <w:sz w:val="20"/>
                <w:szCs w:val="20"/>
              </w:rPr>
              <w:t>80% of students will score at least 75% correct</w:t>
            </w:r>
          </w:p>
        </w:tc>
        <w:tc>
          <w:tcPr>
            <w:tcW w:w="1260" w:type="dxa"/>
          </w:tcPr>
          <w:p>
            <w:pPr>
              <w:rPr>
                <w:rFonts w:cs="Times New Roman"/>
                <w:sz w:val="18"/>
                <w:szCs w:val="18"/>
              </w:rPr>
            </w:pPr>
            <w:r>
              <w:rPr>
                <w:rFonts w:cs="Times New Roman"/>
                <w:sz w:val="18"/>
                <w:szCs w:val="18"/>
              </w:rPr>
              <w:t xml:space="preserve">Assessed every other year </w:t>
            </w:r>
          </w:p>
        </w:tc>
        <w:tc>
          <w:tcPr>
            <w:tcW w:w="1710" w:type="dxa"/>
          </w:tcPr>
          <w:p>
            <w:pPr>
              <w:rPr>
                <w:rFonts w:cs="Times New Roman"/>
                <w:sz w:val="18"/>
                <w:szCs w:val="18"/>
              </w:rPr>
            </w:pPr>
            <w:r>
              <w:rPr>
                <w:rFonts w:cs="Times New Roman"/>
                <w:sz w:val="18"/>
                <w:szCs w:val="18"/>
              </w:rPr>
              <w:t>See WEAVE</w:t>
            </w:r>
          </w:p>
        </w:tc>
        <w:tc>
          <w:tcPr>
            <w:tcW w:w="1530" w:type="dxa"/>
          </w:tcPr>
          <w:p>
            <w:pPr>
              <w:rPr>
                <w:rFonts w:cs="Times New Roman"/>
                <w:sz w:val="18"/>
                <w:szCs w:val="18"/>
              </w:rPr>
            </w:pPr>
            <w:r>
              <w:rPr>
                <w:rFonts w:cs="Times New Roman"/>
                <w:sz w:val="18"/>
                <w:szCs w:val="18"/>
              </w:rPr>
              <w:t>See WEAVE</w:t>
            </w:r>
          </w:p>
        </w:tc>
      </w:tr>
      <w:tr>
        <w:tc>
          <w:tcPr>
            <w:tcW w:w="4050" w:type="dxa"/>
          </w:tcPr>
          <w:p>
            <w:pPr>
              <w:rPr>
                <w:rFonts w:cs="Times New Roman"/>
                <w:sz w:val="20"/>
                <w:szCs w:val="20"/>
              </w:rPr>
            </w:pPr>
            <w:r>
              <w:rPr>
                <w:rFonts w:cs="Times New Roman"/>
                <w:b/>
                <w:sz w:val="20"/>
                <w:szCs w:val="20"/>
                <w:u w:val="single"/>
              </w:rPr>
              <w:t>Breadth and depth of knowledge</w:t>
            </w:r>
            <w:r>
              <w:rPr>
                <w:rFonts w:cs="Times New Roman"/>
                <w:sz w:val="20"/>
                <w:szCs w:val="20"/>
              </w:rPr>
              <w:t xml:space="preserve"> (continued)</w:t>
            </w:r>
          </w:p>
        </w:tc>
        <w:tc>
          <w:tcPr>
            <w:tcW w:w="4500" w:type="dxa"/>
          </w:tcPr>
          <w:p>
            <w:pPr>
              <w:spacing w:line="240" w:lineRule="exact"/>
              <w:rPr>
                <w:rFonts w:cs="Times New Roman"/>
                <w:color w:val="244061" w:themeColor="accent1" w:themeShade="80"/>
                <w:sz w:val="20"/>
                <w:szCs w:val="20"/>
              </w:rPr>
            </w:pPr>
            <w:r>
              <w:rPr>
                <w:rFonts w:cs="Times New Roman"/>
                <w:color w:val="244061" w:themeColor="accent1" w:themeShade="80"/>
                <w:sz w:val="20"/>
                <w:szCs w:val="20"/>
              </w:rPr>
              <w:t xml:space="preserve">Assessed in Core </w:t>
            </w:r>
          </w:p>
          <w:p>
            <w:pPr>
              <w:pStyle w:val="ListParagraph"/>
              <w:numPr>
                <w:ilvl w:val="0"/>
                <w:numId w:val="3"/>
              </w:numPr>
              <w:spacing w:line="240" w:lineRule="exact"/>
              <w:rPr>
                <w:rFonts w:cs="Times New Roman"/>
                <w:color w:val="244061" w:themeColor="accent1" w:themeShade="80"/>
                <w:sz w:val="20"/>
                <w:szCs w:val="20"/>
              </w:rPr>
            </w:pPr>
            <w:r>
              <w:rPr>
                <w:rFonts w:cs="Times New Roman"/>
                <w:color w:val="244061" w:themeColor="accent1" w:themeShade="80"/>
                <w:sz w:val="20"/>
                <w:szCs w:val="20"/>
              </w:rPr>
              <w:t>Major Field Test in Business</w:t>
            </w:r>
          </w:p>
          <w:p>
            <w:pPr>
              <w:pStyle w:val="ListParagraph"/>
              <w:numPr>
                <w:ilvl w:val="0"/>
                <w:numId w:val="3"/>
              </w:numPr>
              <w:spacing w:line="240" w:lineRule="exact"/>
              <w:rPr>
                <w:rFonts w:cs="Times New Roman"/>
                <w:color w:val="244061" w:themeColor="accent1" w:themeShade="80"/>
                <w:sz w:val="20"/>
                <w:szCs w:val="20"/>
              </w:rPr>
            </w:pPr>
            <w:r>
              <w:rPr>
                <w:rFonts w:cs="Times New Roman"/>
                <w:color w:val="244061" w:themeColor="accent1" w:themeShade="80"/>
                <w:sz w:val="20"/>
                <w:szCs w:val="20"/>
              </w:rPr>
              <w:t>MRKT 130</w:t>
            </w:r>
          </w:p>
          <w:p>
            <w:pPr>
              <w:spacing w:line="240" w:lineRule="exact"/>
              <w:rPr>
                <w:rFonts w:cs="Times New Roman"/>
                <w:color w:val="244061" w:themeColor="accent1" w:themeShade="80"/>
                <w:sz w:val="20"/>
                <w:szCs w:val="20"/>
              </w:rPr>
            </w:pPr>
          </w:p>
        </w:tc>
        <w:tc>
          <w:tcPr>
            <w:tcW w:w="1800" w:type="dxa"/>
          </w:tcPr>
          <w:p>
            <w:pPr>
              <w:pStyle w:val="TableParagraph"/>
              <w:spacing w:line="223" w:lineRule="exact"/>
              <w:ind w:left="100"/>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980" w:type="dxa"/>
          </w:tcPr>
          <w:p>
            <w:pPr>
              <w:pStyle w:val="TableParagraph"/>
              <w:spacing w:line="223" w:lineRule="exact"/>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890" w:type="dxa"/>
          </w:tcPr>
          <w:p>
            <w:pPr>
              <w:pStyle w:val="TableParagraph"/>
              <w:ind w:left="100" w:right="371"/>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260" w:type="dxa"/>
          </w:tcPr>
          <w:p>
            <w:pPr>
              <w:pStyle w:val="TableParagraph"/>
              <w:spacing w:line="223" w:lineRule="exact"/>
              <w:ind w:left="100"/>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710" w:type="dxa"/>
          </w:tcPr>
          <w:p>
            <w:pPr>
              <w:pStyle w:val="TableParagraph"/>
              <w:spacing w:line="223" w:lineRule="exact"/>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530" w:type="dxa"/>
          </w:tcPr>
          <w:p>
            <w:pPr>
              <w:pStyle w:val="TableParagraph"/>
              <w:ind w:left="100" w:right="371"/>
              <w:rPr>
                <w:rFonts w:ascii="Times New Roman" w:hAnsi="Times New Roman" w:cs="Times New Roman"/>
                <w:sz w:val="18"/>
                <w:szCs w:val="18"/>
              </w:rPr>
            </w:pPr>
            <w:r>
              <w:rPr>
                <w:rFonts w:ascii="Times New Roman" w:hAnsi="Times New Roman" w:cs="Times New Roman"/>
                <w:color w:val="1F497D"/>
                <w:sz w:val="18"/>
                <w:szCs w:val="18"/>
              </w:rPr>
              <w:t>Assessed in CORE</w:t>
            </w:r>
          </w:p>
        </w:tc>
      </w:tr>
      <w:tr>
        <w:tc>
          <w:tcPr>
            <w:tcW w:w="4050" w:type="dxa"/>
          </w:tcPr>
          <w:p>
            <w:pPr>
              <w:rPr>
                <w:rFonts w:cs="Times New Roman"/>
                <w:sz w:val="20"/>
                <w:szCs w:val="20"/>
              </w:rPr>
            </w:pPr>
            <w:r>
              <w:rPr>
                <w:rFonts w:cs="Times New Roman"/>
                <w:b/>
                <w:sz w:val="20"/>
                <w:szCs w:val="20"/>
                <w:u w:val="single"/>
              </w:rPr>
              <w:t>Specialized skills and scholarship:</w:t>
            </w:r>
            <w:r>
              <w:rPr>
                <w:rFonts w:cs="Times New Roman"/>
                <w:b/>
                <w:sz w:val="20"/>
                <w:szCs w:val="20"/>
              </w:rPr>
              <w:t xml:space="preserve"> Students will become proficient in the scholarship of their discipline and demonstrate specialized skills required for employment</w:t>
            </w:r>
          </w:p>
        </w:tc>
        <w:tc>
          <w:tcPr>
            <w:tcW w:w="4500" w:type="dxa"/>
          </w:tcPr>
          <w:p>
            <w:pPr>
              <w:spacing w:line="240" w:lineRule="exact"/>
              <w:rPr>
                <w:rFonts w:cs="Times New Roman"/>
                <w:color w:val="1F497D" w:themeColor="text2"/>
                <w:sz w:val="20"/>
                <w:szCs w:val="20"/>
              </w:rPr>
            </w:pPr>
            <w:r>
              <w:rPr>
                <w:rFonts w:cs="Times New Roman"/>
                <w:color w:val="1F497D" w:themeColor="text2"/>
                <w:sz w:val="20"/>
                <w:szCs w:val="20"/>
              </w:rPr>
              <w:t>Assessed in CORE</w:t>
            </w:r>
          </w:p>
          <w:p>
            <w:pPr>
              <w:pStyle w:val="ListParagraph"/>
              <w:numPr>
                <w:ilvl w:val="0"/>
                <w:numId w:val="4"/>
              </w:numPr>
              <w:spacing w:line="240" w:lineRule="exact"/>
              <w:rPr>
                <w:rFonts w:cs="Times New Roman"/>
                <w:sz w:val="20"/>
                <w:szCs w:val="20"/>
              </w:rPr>
            </w:pPr>
            <w:r>
              <w:rPr>
                <w:rFonts w:cs="Times New Roman"/>
                <w:color w:val="244061" w:themeColor="accent1" w:themeShade="80"/>
                <w:sz w:val="20"/>
                <w:szCs w:val="20"/>
              </w:rPr>
              <w:t>ACCT 242</w:t>
            </w:r>
          </w:p>
        </w:tc>
        <w:tc>
          <w:tcPr>
            <w:tcW w:w="1800" w:type="dxa"/>
          </w:tcPr>
          <w:p>
            <w:pPr>
              <w:spacing w:line="240" w:lineRule="exact"/>
              <w:rPr>
                <w:rFonts w:cs="Times New Roman"/>
                <w:sz w:val="20"/>
                <w:szCs w:val="20"/>
              </w:rPr>
            </w:pPr>
            <w:r>
              <w:rPr>
                <w:rFonts w:cs="Times New Roman"/>
                <w:color w:val="1F497D" w:themeColor="text2"/>
                <w:sz w:val="20"/>
                <w:szCs w:val="20"/>
              </w:rPr>
              <w:t>Assessed in CORE</w:t>
            </w:r>
          </w:p>
        </w:tc>
        <w:tc>
          <w:tcPr>
            <w:tcW w:w="1980" w:type="dxa"/>
          </w:tcPr>
          <w:p>
            <w:pPr>
              <w:rPr>
                <w:rFonts w:cs="Times New Roman"/>
                <w:sz w:val="20"/>
                <w:szCs w:val="20"/>
              </w:rPr>
            </w:pPr>
            <w:r>
              <w:rPr>
                <w:rFonts w:cs="Times New Roman"/>
                <w:color w:val="1F497D" w:themeColor="text2"/>
                <w:sz w:val="20"/>
                <w:szCs w:val="20"/>
              </w:rPr>
              <w:t>Assessed in CORE</w:t>
            </w:r>
          </w:p>
        </w:tc>
        <w:tc>
          <w:tcPr>
            <w:tcW w:w="1890" w:type="dxa"/>
          </w:tcPr>
          <w:p>
            <w:pPr>
              <w:rPr>
                <w:rFonts w:cs="Times New Roman"/>
                <w:sz w:val="20"/>
                <w:szCs w:val="20"/>
              </w:rPr>
            </w:pPr>
            <w:r>
              <w:rPr>
                <w:rFonts w:cs="Times New Roman"/>
                <w:color w:val="1F497D" w:themeColor="text2"/>
                <w:sz w:val="20"/>
                <w:szCs w:val="20"/>
              </w:rPr>
              <w:t>Assessed in CORE</w:t>
            </w:r>
          </w:p>
        </w:tc>
        <w:tc>
          <w:tcPr>
            <w:tcW w:w="1260" w:type="dxa"/>
          </w:tcPr>
          <w:p>
            <w:pPr>
              <w:rPr>
                <w:rFonts w:cs="Times New Roman"/>
                <w:sz w:val="18"/>
                <w:szCs w:val="18"/>
              </w:rPr>
            </w:pPr>
            <w:r>
              <w:rPr>
                <w:rFonts w:cs="Times New Roman"/>
                <w:color w:val="1F497D" w:themeColor="text2"/>
                <w:sz w:val="20"/>
                <w:szCs w:val="20"/>
              </w:rPr>
              <w:t>Assessed in CORE</w:t>
            </w:r>
          </w:p>
        </w:tc>
        <w:tc>
          <w:tcPr>
            <w:tcW w:w="1710" w:type="dxa"/>
          </w:tcPr>
          <w:p>
            <w:pPr>
              <w:rPr>
                <w:rFonts w:cs="Times New Roman"/>
                <w:sz w:val="18"/>
                <w:szCs w:val="18"/>
              </w:rPr>
            </w:pPr>
            <w:r>
              <w:rPr>
                <w:rFonts w:cs="Times New Roman"/>
                <w:color w:val="1F497D" w:themeColor="text2"/>
                <w:sz w:val="20"/>
                <w:szCs w:val="20"/>
              </w:rPr>
              <w:t>Assessed in CORE</w:t>
            </w:r>
          </w:p>
        </w:tc>
        <w:tc>
          <w:tcPr>
            <w:tcW w:w="1530" w:type="dxa"/>
          </w:tcPr>
          <w:p>
            <w:pPr>
              <w:rPr>
                <w:rFonts w:cs="Times New Roman"/>
                <w:sz w:val="18"/>
                <w:szCs w:val="18"/>
              </w:rPr>
            </w:pPr>
            <w:r>
              <w:rPr>
                <w:rFonts w:cs="Times New Roman"/>
                <w:color w:val="1F497D" w:themeColor="text2"/>
                <w:sz w:val="20"/>
                <w:szCs w:val="20"/>
              </w:rPr>
              <w:t>Assessed in CORE</w:t>
            </w:r>
          </w:p>
        </w:tc>
      </w:tr>
      <w:tr>
        <w:tc>
          <w:tcPr>
            <w:tcW w:w="4050" w:type="dxa"/>
          </w:tcPr>
          <w:p>
            <w:pPr>
              <w:rPr>
                <w:rFonts w:cs="Times New Roman"/>
                <w:sz w:val="20"/>
                <w:szCs w:val="20"/>
              </w:rPr>
            </w:pPr>
            <w:r>
              <w:rPr>
                <w:rFonts w:cs="Times New Roman"/>
                <w:b/>
                <w:sz w:val="20"/>
                <w:szCs w:val="20"/>
                <w:u w:val="single"/>
              </w:rPr>
              <w:t>Specialized skills and scholarship:</w:t>
            </w:r>
            <w:r>
              <w:rPr>
                <w:rFonts w:cs="Times New Roman"/>
                <w:b/>
                <w:sz w:val="20"/>
                <w:szCs w:val="20"/>
              </w:rPr>
              <w:t xml:space="preserve"> Students will become proficient in the scholarship of their discipline and demonstrate specialized skills required for employment</w:t>
            </w:r>
          </w:p>
        </w:tc>
        <w:tc>
          <w:tcPr>
            <w:tcW w:w="4500" w:type="dxa"/>
          </w:tcPr>
          <w:p>
            <w:pPr>
              <w:spacing w:line="240" w:lineRule="exact"/>
              <w:rPr>
                <w:rFonts w:cs="Times New Roman"/>
                <w:sz w:val="20"/>
                <w:szCs w:val="20"/>
              </w:rPr>
            </w:pPr>
            <w:r>
              <w:rPr>
                <w:rFonts w:cs="Times New Roman"/>
                <w:sz w:val="20"/>
                <w:szCs w:val="20"/>
              </w:rPr>
              <w:t>Students will apply theoretical principles of human behavior to foster appropriate interpersonal interaction in the workplace</w:t>
            </w:r>
          </w:p>
        </w:tc>
        <w:tc>
          <w:tcPr>
            <w:tcW w:w="1800" w:type="dxa"/>
          </w:tcPr>
          <w:p>
            <w:pPr>
              <w:spacing w:line="240" w:lineRule="exact"/>
              <w:rPr>
                <w:rFonts w:cs="Times New Roman"/>
                <w:sz w:val="20"/>
                <w:szCs w:val="20"/>
              </w:rPr>
            </w:pPr>
            <w:r>
              <w:rPr>
                <w:rFonts w:cs="Times New Roman"/>
                <w:b/>
                <w:sz w:val="20"/>
                <w:szCs w:val="20"/>
              </w:rPr>
              <w:t>BUSA 120, HRM 301, HRM 311, HRM 312</w:t>
            </w:r>
            <w:r>
              <w:rPr>
                <w:rFonts w:cs="Times New Roman"/>
                <w:sz w:val="20"/>
                <w:szCs w:val="20"/>
              </w:rPr>
              <w:t>, HRM 346, HRM 351, HRM 352, HRM 356</w:t>
            </w:r>
          </w:p>
        </w:tc>
        <w:tc>
          <w:tcPr>
            <w:tcW w:w="1980" w:type="dxa"/>
          </w:tcPr>
          <w:p>
            <w:pPr>
              <w:rPr>
                <w:rFonts w:cs="Times New Roman"/>
                <w:sz w:val="20"/>
                <w:szCs w:val="20"/>
              </w:rPr>
            </w:pPr>
            <w:r>
              <w:rPr>
                <w:rFonts w:cs="Times New Roman"/>
                <w:sz w:val="20"/>
                <w:szCs w:val="20"/>
              </w:rPr>
              <w:t>Motivation assignment in HRM 311</w:t>
            </w:r>
          </w:p>
        </w:tc>
        <w:tc>
          <w:tcPr>
            <w:tcW w:w="1890" w:type="dxa"/>
          </w:tcPr>
          <w:p>
            <w:pPr>
              <w:rPr>
                <w:rFonts w:cs="Times New Roman"/>
                <w:sz w:val="20"/>
                <w:szCs w:val="20"/>
              </w:rPr>
            </w:pPr>
            <w:r>
              <w:rPr>
                <w:rFonts w:cs="Times New Roman"/>
                <w:sz w:val="20"/>
                <w:szCs w:val="20"/>
              </w:rPr>
              <w:t>85% of students will score a 3 or higher (out of 4) on the rubric item.</w:t>
            </w:r>
          </w:p>
        </w:tc>
        <w:tc>
          <w:tcPr>
            <w:tcW w:w="1260" w:type="dxa"/>
          </w:tcPr>
          <w:p>
            <w:pPr>
              <w:rPr>
                <w:rFonts w:cs="Times New Roman"/>
                <w:sz w:val="18"/>
                <w:szCs w:val="18"/>
              </w:rPr>
            </w:pPr>
            <w:r>
              <w:rPr>
                <w:rFonts w:cs="Times New Roman"/>
                <w:sz w:val="18"/>
                <w:szCs w:val="18"/>
              </w:rPr>
              <w:t xml:space="preserve">Assessed every other year. </w:t>
            </w:r>
          </w:p>
        </w:tc>
        <w:tc>
          <w:tcPr>
            <w:tcW w:w="1710" w:type="dxa"/>
          </w:tcPr>
          <w:p>
            <w:pPr>
              <w:rPr>
                <w:rFonts w:cs="Times New Roman"/>
                <w:sz w:val="18"/>
                <w:szCs w:val="18"/>
              </w:rPr>
            </w:pPr>
            <w:r>
              <w:rPr>
                <w:rFonts w:cs="Times New Roman"/>
                <w:sz w:val="18"/>
                <w:szCs w:val="18"/>
              </w:rPr>
              <w:t>See WEAVE</w:t>
            </w:r>
          </w:p>
        </w:tc>
        <w:tc>
          <w:tcPr>
            <w:tcW w:w="1530" w:type="dxa"/>
          </w:tcPr>
          <w:p>
            <w:pPr>
              <w:rPr>
                <w:rFonts w:cs="Times New Roman"/>
                <w:sz w:val="18"/>
                <w:szCs w:val="18"/>
              </w:rPr>
            </w:pPr>
            <w:r>
              <w:rPr>
                <w:rFonts w:cs="Times New Roman"/>
                <w:sz w:val="18"/>
                <w:szCs w:val="18"/>
              </w:rPr>
              <w:t>See WEAVE</w:t>
            </w:r>
          </w:p>
        </w:tc>
      </w:tr>
      <w:tr>
        <w:tc>
          <w:tcPr>
            <w:tcW w:w="4050" w:type="dxa"/>
          </w:tcPr>
          <w:p>
            <w:pPr>
              <w:rPr>
                <w:rFonts w:cs="Times New Roman"/>
                <w:sz w:val="20"/>
                <w:szCs w:val="20"/>
              </w:rPr>
            </w:pPr>
            <w:r>
              <w:rPr>
                <w:rFonts w:cs="Times New Roman"/>
                <w:b/>
                <w:sz w:val="20"/>
                <w:szCs w:val="20"/>
                <w:u w:val="single"/>
              </w:rPr>
              <w:t>Intrapersonal Awareness:</w:t>
            </w:r>
            <w:r>
              <w:rPr>
                <w:rFonts w:cs="Times New Roman"/>
                <w:b/>
                <w:sz w:val="20"/>
                <w:szCs w:val="20"/>
              </w:rPr>
              <w:t xml:space="preserve"> Students will gain self-awareness of identity, character, and vocational calling</w:t>
            </w:r>
          </w:p>
        </w:tc>
        <w:tc>
          <w:tcPr>
            <w:tcW w:w="4500" w:type="dxa"/>
          </w:tcPr>
          <w:p>
            <w:pPr>
              <w:rPr>
                <w:rFonts w:cs="Times New Roman"/>
                <w:color w:val="244061" w:themeColor="accent1" w:themeShade="80"/>
                <w:sz w:val="20"/>
              </w:rPr>
            </w:pPr>
            <w:r>
              <w:rPr>
                <w:rFonts w:cs="Times New Roman"/>
                <w:color w:val="244061" w:themeColor="accent1" w:themeShade="80"/>
                <w:sz w:val="20"/>
              </w:rPr>
              <w:t>Assessed in CORE</w:t>
            </w:r>
          </w:p>
          <w:p>
            <w:pPr>
              <w:pStyle w:val="ListParagraph"/>
              <w:numPr>
                <w:ilvl w:val="0"/>
                <w:numId w:val="5"/>
              </w:numPr>
              <w:rPr>
                <w:rFonts w:cs="Times New Roman"/>
                <w:color w:val="244061" w:themeColor="accent1" w:themeShade="80"/>
                <w:sz w:val="20"/>
                <w:szCs w:val="20"/>
              </w:rPr>
            </w:pPr>
            <w:r>
              <w:rPr>
                <w:rFonts w:cs="Times New Roman"/>
                <w:color w:val="244061" w:themeColor="accent1" w:themeShade="80"/>
                <w:sz w:val="20"/>
                <w:szCs w:val="20"/>
              </w:rPr>
              <w:t>BUSA 459</w:t>
            </w:r>
          </w:p>
        </w:tc>
        <w:tc>
          <w:tcPr>
            <w:tcW w:w="1800" w:type="dxa"/>
          </w:tcPr>
          <w:p>
            <w:pPr>
              <w:rPr>
                <w:color w:val="244061" w:themeColor="accent1" w:themeShade="80"/>
                <w:sz w:val="20"/>
              </w:rPr>
            </w:pPr>
            <w:r>
              <w:rPr>
                <w:color w:val="244061" w:themeColor="accent1" w:themeShade="80"/>
                <w:sz w:val="20"/>
              </w:rPr>
              <w:t>Assessed in CORE</w:t>
            </w:r>
          </w:p>
        </w:tc>
        <w:tc>
          <w:tcPr>
            <w:tcW w:w="1980" w:type="dxa"/>
          </w:tcPr>
          <w:p>
            <w:pPr>
              <w:rPr>
                <w:color w:val="244061" w:themeColor="accent1" w:themeShade="80"/>
                <w:sz w:val="20"/>
              </w:rPr>
            </w:pPr>
            <w:r>
              <w:rPr>
                <w:color w:val="244061" w:themeColor="accent1" w:themeShade="80"/>
                <w:sz w:val="20"/>
              </w:rPr>
              <w:t>Assessed in CORE</w:t>
            </w:r>
          </w:p>
        </w:tc>
        <w:tc>
          <w:tcPr>
            <w:tcW w:w="1890" w:type="dxa"/>
          </w:tcPr>
          <w:p>
            <w:pPr>
              <w:rPr>
                <w:color w:val="244061" w:themeColor="accent1" w:themeShade="80"/>
                <w:sz w:val="20"/>
              </w:rPr>
            </w:pPr>
            <w:r>
              <w:rPr>
                <w:color w:val="244061" w:themeColor="accent1" w:themeShade="80"/>
                <w:sz w:val="20"/>
              </w:rPr>
              <w:t>Assessed in CORE</w:t>
            </w:r>
          </w:p>
        </w:tc>
        <w:tc>
          <w:tcPr>
            <w:tcW w:w="1260" w:type="dxa"/>
          </w:tcPr>
          <w:p>
            <w:pPr>
              <w:rPr>
                <w:color w:val="244061" w:themeColor="accent1" w:themeShade="80"/>
                <w:sz w:val="20"/>
              </w:rPr>
            </w:pPr>
            <w:r>
              <w:rPr>
                <w:color w:val="244061" w:themeColor="accent1" w:themeShade="80"/>
                <w:sz w:val="20"/>
              </w:rPr>
              <w:t>Assessed in CORE</w:t>
            </w:r>
          </w:p>
        </w:tc>
        <w:tc>
          <w:tcPr>
            <w:tcW w:w="1710" w:type="dxa"/>
          </w:tcPr>
          <w:p>
            <w:pPr>
              <w:rPr>
                <w:color w:val="244061" w:themeColor="accent1" w:themeShade="80"/>
                <w:sz w:val="20"/>
              </w:rPr>
            </w:pPr>
            <w:r>
              <w:rPr>
                <w:color w:val="244061" w:themeColor="accent1" w:themeShade="80"/>
                <w:sz w:val="20"/>
              </w:rPr>
              <w:t>Assessed in CORE</w:t>
            </w:r>
          </w:p>
        </w:tc>
        <w:tc>
          <w:tcPr>
            <w:tcW w:w="1530" w:type="dxa"/>
          </w:tcPr>
          <w:p>
            <w:pPr>
              <w:rPr>
                <w:color w:val="244061" w:themeColor="accent1" w:themeShade="80"/>
                <w:sz w:val="20"/>
              </w:rPr>
            </w:pPr>
            <w:r>
              <w:rPr>
                <w:color w:val="244061" w:themeColor="accent1" w:themeShade="80"/>
                <w:sz w:val="20"/>
              </w:rPr>
              <w:t>Assessed in CORE</w:t>
            </w:r>
          </w:p>
        </w:tc>
      </w:tr>
      <w:tr>
        <w:tc>
          <w:tcPr>
            <w:tcW w:w="4050" w:type="dxa"/>
          </w:tcPr>
          <w:p>
            <w:pPr>
              <w:rPr>
                <w:rFonts w:cs="Times New Roman"/>
                <w:sz w:val="20"/>
                <w:szCs w:val="20"/>
              </w:rPr>
            </w:pPr>
            <w:r>
              <w:rPr>
                <w:rFonts w:cs="Times New Roman"/>
                <w:b/>
                <w:sz w:val="20"/>
                <w:szCs w:val="20"/>
                <w:u w:val="single"/>
              </w:rPr>
              <w:t>Faith knowledge &amp; application:</w:t>
            </w:r>
            <w:r>
              <w:rPr>
                <w:rFonts w:cs="Times New Roman"/>
                <w:b/>
                <w:sz w:val="20"/>
                <w:szCs w:val="20"/>
              </w:rPr>
              <w:t xml:space="preserve"> Students will develop informed and mature convictions about Christian faith and practice</w:t>
            </w:r>
          </w:p>
        </w:tc>
        <w:tc>
          <w:tcPr>
            <w:tcW w:w="4500" w:type="dxa"/>
          </w:tcPr>
          <w:p>
            <w:pPr>
              <w:rPr>
                <w:rFonts w:cs="Times New Roman"/>
                <w:color w:val="1F497D" w:themeColor="text2"/>
                <w:sz w:val="20"/>
                <w:szCs w:val="20"/>
              </w:rPr>
            </w:pPr>
            <w:r>
              <w:rPr>
                <w:rFonts w:cs="Times New Roman"/>
                <w:color w:val="1F497D" w:themeColor="text2"/>
                <w:sz w:val="20"/>
                <w:szCs w:val="20"/>
              </w:rPr>
              <w:t>Assessed in CORE</w:t>
            </w:r>
          </w:p>
          <w:p>
            <w:pPr>
              <w:pStyle w:val="ListParagraph"/>
              <w:numPr>
                <w:ilvl w:val="0"/>
                <w:numId w:val="6"/>
              </w:numPr>
              <w:rPr>
                <w:rFonts w:cs="Times New Roman"/>
                <w:color w:val="1F497D" w:themeColor="text2"/>
                <w:sz w:val="20"/>
                <w:szCs w:val="20"/>
              </w:rPr>
            </w:pPr>
            <w:r>
              <w:rPr>
                <w:rFonts w:cs="Times New Roman"/>
                <w:color w:val="1F497D" w:themeColor="text2"/>
                <w:sz w:val="20"/>
                <w:szCs w:val="20"/>
              </w:rPr>
              <w:t>BUSA 459</w:t>
            </w:r>
          </w:p>
          <w:p>
            <w:pPr>
              <w:rPr>
                <w:rFonts w:cs="Times New Roman"/>
                <w:sz w:val="20"/>
                <w:szCs w:val="20"/>
              </w:rPr>
            </w:pPr>
          </w:p>
          <w:p>
            <w:pPr>
              <w:rPr>
                <w:rFonts w:cs="Times New Roman"/>
                <w:sz w:val="20"/>
                <w:szCs w:val="20"/>
              </w:rPr>
            </w:pPr>
          </w:p>
        </w:tc>
        <w:tc>
          <w:tcPr>
            <w:tcW w:w="1800" w:type="dxa"/>
          </w:tcPr>
          <w:p>
            <w:pPr>
              <w:autoSpaceDE w:val="0"/>
              <w:autoSpaceDN w:val="0"/>
              <w:adjustRightInd w:val="0"/>
              <w:rPr>
                <w:rFonts w:cs="Times New Roman"/>
                <w:sz w:val="20"/>
                <w:szCs w:val="20"/>
              </w:rPr>
            </w:pPr>
            <w:r>
              <w:rPr>
                <w:rFonts w:cs="Times New Roman"/>
                <w:color w:val="1F497D" w:themeColor="text2"/>
                <w:sz w:val="20"/>
                <w:szCs w:val="20"/>
              </w:rPr>
              <w:t>Assessed in CORE</w:t>
            </w:r>
          </w:p>
        </w:tc>
        <w:tc>
          <w:tcPr>
            <w:tcW w:w="1980" w:type="dxa"/>
          </w:tcPr>
          <w:p>
            <w:pPr>
              <w:rPr>
                <w:rFonts w:cs="Times New Roman"/>
                <w:sz w:val="20"/>
                <w:szCs w:val="20"/>
              </w:rPr>
            </w:pPr>
            <w:r>
              <w:rPr>
                <w:rFonts w:cs="Times New Roman"/>
                <w:color w:val="1F497D" w:themeColor="text2"/>
                <w:sz w:val="20"/>
                <w:szCs w:val="20"/>
              </w:rPr>
              <w:t>Assessed in CORE</w:t>
            </w:r>
          </w:p>
        </w:tc>
        <w:tc>
          <w:tcPr>
            <w:tcW w:w="1890" w:type="dxa"/>
          </w:tcPr>
          <w:p>
            <w:pPr>
              <w:rPr>
                <w:rFonts w:cs="Times New Roman"/>
                <w:sz w:val="20"/>
                <w:szCs w:val="20"/>
              </w:rPr>
            </w:pPr>
            <w:r>
              <w:rPr>
                <w:rFonts w:cs="Times New Roman"/>
                <w:color w:val="1F497D" w:themeColor="text2"/>
                <w:sz w:val="20"/>
                <w:szCs w:val="20"/>
              </w:rPr>
              <w:t>Assessed in CORE</w:t>
            </w:r>
          </w:p>
        </w:tc>
        <w:tc>
          <w:tcPr>
            <w:tcW w:w="1260" w:type="dxa"/>
          </w:tcPr>
          <w:p>
            <w:pPr>
              <w:rPr>
                <w:rFonts w:cs="Times New Roman"/>
                <w:sz w:val="18"/>
                <w:szCs w:val="18"/>
              </w:rPr>
            </w:pPr>
            <w:r>
              <w:rPr>
                <w:rFonts w:cs="Times New Roman"/>
                <w:color w:val="1F497D" w:themeColor="text2"/>
                <w:sz w:val="20"/>
                <w:szCs w:val="20"/>
              </w:rPr>
              <w:t>Assessed in CORE</w:t>
            </w:r>
          </w:p>
        </w:tc>
        <w:tc>
          <w:tcPr>
            <w:tcW w:w="1710" w:type="dxa"/>
          </w:tcPr>
          <w:p>
            <w:pPr>
              <w:rPr>
                <w:rFonts w:cs="Times New Roman"/>
                <w:sz w:val="18"/>
                <w:szCs w:val="18"/>
              </w:rPr>
            </w:pPr>
            <w:r>
              <w:rPr>
                <w:rFonts w:cs="Times New Roman"/>
                <w:color w:val="1F497D" w:themeColor="text2"/>
                <w:sz w:val="20"/>
                <w:szCs w:val="20"/>
              </w:rPr>
              <w:t>Assessed in CORE</w:t>
            </w:r>
          </w:p>
        </w:tc>
        <w:tc>
          <w:tcPr>
            <w:tcW w:w="1530" w:type="dxa"/>
          </w:tcPr>
          <w:p>
            <w:pPr>
              <w:rPr>
                <w:rFonts w:cs="Times New Roman"/>
                <w:sz w:val="18"/>
                <w:szCs w:val="18"/>
              </w:rPr>
            </w:pPr>
            <w:r>
              <w:rPr>
                <w:rFonts w:cs="Times New Roman"/>
                <w:color w:val="1F497D" w:themeColor="text2"/>
                <w:sz w:val="20"/>
                <w:szCs w:val="20"/>
              </w:rPr>
              <w:t>Assessed in CORE</w:t>
            </w:r>
          </w:p>
        </w:tc>
      </w:tr>
    </w:tbl>
    <w:p>
      <w:pPr>
        <w:rPr>
          <w:rFonts w:cs="Times New Roman"/>
          <w:sz w:val="18"/>
          <w:szCs w:val="18"/>
        </w:rPr>
      </w:pPr>
      <w:r>
        <w:rPr>
          <w:rFonts w:cs="Times New Roman"/>
          <w:sz w:val="18"/>
          <w:szCs w:val="18"/>
        </w:rPr>
        <w:t>Rubric item for 4.3</w:t>
      </w:r>
    </w:p>
    <w:tbl>
      <w:tblPr>
        <w:tblStyle w:val="TableGrid"/>
        <w:tblW w:w="0" w:type="auto"/>
        <w:tblLook w:val="04A0" w:firstRow="1" w:lastRow="0" w:firstColumn="1" w:lastColumn="0" w:noHBand="0" w:noVBand="1"/>
      </w:tblPr>
      <w:tblGrid>
        <w:gridCol w:w="3499"/>
        <w:gridCol w:w="3499"/>
        <w:gridCol w:w="3499"/>
        <w:gridCol w:w="4281"/>
      </w:tblGrid>
      <w:tr>
        <w:tc>
          <w:tcPr>
            <w:tcW w:w="3499" w:type="dxa"/>
          </w:tcPr>
          <w:p>
            <w:pPr>
              <w:rPr>
                <w:rFonts w:cs="Times New Roman"/>
                <w:sz w:val="18"/>
                <w:szCs w:val="18"/>
              </w:rPr>
            </w:pPr>
            <w:r>
              <w:rPr>
                <w:rFonts w:cs="Times New Roman"/>
                <w:sz w:val="18"/>
                <w:szCs w:val="18"/>
              </w:rPr>
              <w:t>(1) No evidence that the student is able to understand or apply motivation theory.</w:t>
            </w:r>
          </w:p>
        </w:tc>
        <w:tc>
          <w:tcPr>
            <w:tcW w:w="3499" w:type="dxa"/>
          </w:tcPr>
          <w:p>
            <w:pPr>
              <w:rPr>
                <w:rFonts w:cs="Times New Roman"/>
                <w:sz w:val="18"/>
                <w:szCs w:val="18"/>
              </w:rPr>
            </w:pPr>
            <w:r>
              <w:rPr>
                <w:rFonts w:cs="Times New Roman"/>
                <w:sz w:val="18"/>
                <w:szCs w:val="18"/>
              </w:rPr>
              <w:t>(2) Limited understanding of principles of motivation and improper application to actual situation.</w:t>
            </w:r>
          </w:p>
        </w:tc>
        <w:tc>
          <w:tcPr>
            <w:tcW w:w="3499" w:type="dxa"/>
          </w:tcPr>
          <w:p>
            <w:pPr>
              <w:rPr>
                <w:rFonts w:cs="Times New Roman"/>
                <w:sz w:val="18"/>
                <w:szCs w:val="18"/>
              </w:rPr>
            </w:pPr>
            <w:r>
              <w:rPr>
                <w:rFonts w:cs="Times New Roman"/>
                <w:sz w:val="18"/>
                <w:szCs w:val="18"/>
              </w:rPr>
              <w:t>(3) Accurate understanding of motivation theories used but did not use all motivation theories at their disposal</w:t>
            </w:r>
          </w:p>
        </w:tc>
        <w:tc>
          <w:tcPr>
            <w:tcW w:w="4281" w:type="dxa"/>
          </w:tcPr>
          <w:p>
            <w:pPr>
              <w:rPr>
                <w:rFonts w:cs="Times New Roman"/>
                <w:sz w:val="18"/>
                <w:szCs w:val="18"/>
              </w:rPr>
            </w:pPr>
            <w:r>
              <w:rPr>
                <w:rFonts w:cs="Times New Roman"/>
                <w:sz w:val="18"/>
                <w:szCs w:val="18"/>
              </w:rPr>
              <w:t>(4) Thorough and accurate understanding of motivation theory and ability to apply theory to actual situation to improve employee motivation</w:t>
            </w:r>
          </w:p>
        </w:tc>
      </w:tr>
    </w:tbl>
    <w:p>
      <w:pPr>
        <w:rPr>
          <w:rFonts w:cs="Times New Roman"/>
          <w:sz w:val="18"/>
          <w:szCs w:val="18"/>
        </w:rPr>
      </w:pPr>
    </w:p>
    <w:sectPr>
      <w:headerReference w:type="default" r:id="rId8"/>
      <w:pgSz w:w="20160" w:h="12240" w:orient="landscape" w:code="5"/>
      <w:pgMar w:top="1260" w:right="1440" w:bottom="1440" w:left="1440" w:header="720" w:footer="5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t xml:space="preserve">BUSA </w:t>
    </w:r>
    <w:r>
      <w:tab/>
      <w:t>Business Administration – Human Resource Management Concentration (</w:t>
    </w:r>
    <w:proofErr w:type="spellStart"/>
    <w:r>
      <w:t>discpline</w:t>
    </w:r>
    <w:proofErr w:type="spellEnd"/>
    <w:r>
      <w:t xml:space="preserve"> specific)</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3FF3"/>
    <w:multiLevelType w:val="hybridMultilevel"/>
    <w:tmpl w:val="1F9ABAF8"/>
    <w:lvl w:ilvl="0" w:tplc="D0EA3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F3E17"/>
    <w:multiLevelType w:val="hybridMultilevel"/>
    <w:tmpl w:val="7F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666BCD"/>
    <w:multiLevelType w:val="hybridMultilevel"/>
    <w:tmpl w:val="DEF6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47781"/>
    <w:multiLevelType w:val="hybridMultilevel"/>
    <w:tmpl w:val="CC86D238"/>
    <w:lvl w:ilvl="0" w:tplc="163E8A22">
      <w:start w:val="1"/>
      <w:numFmt w:val="decimal"/>
      <w:lvlText w:val="%1."/>
      <w:lvlJc w:val="left"/>
      <w:pPr>
        <w:ind w:left="720" w:hanging="360"/>
      </w:pPr>
      <w:rPr>
        <w:rFonts w:hint="default"/>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D5303B"/>
    <w:multiLevelType w:val="hybridMultilevel"/>
    <w:tmpl w:val="2C0AF46E"/>
    <w:lvl w:ilvl="0" w:tplc="CF9897C0">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F01A8-908D-42DD-8E5F-B8036C42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customStyle="1" w:styleId="Default">
    <w:name w:val="Default"/>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ind w:left="103"/>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222464">
      <w:bodyDiv w:val="1"/>
      <w:marLeft w:val="0"/>
      <w:marRight w:val="0"/>
      <w:marTop w:val="0"/>
      <w:marBottom w:val="0"/>
      <w:divBdr>
        <w:top w:val="none" w:sz="0" w:space="0" w:color="auto"/>
        <w:left w:val="none" w:sz="0" w:space="0" w:color="auto"/>
        <w:bottom w:val="none" w:sz="0" w:space="0" w:color="auto"/>
        <w:right w:val="none" w:sz="0" w:space="0" w:color="auto"/>
      </w:divBdr>
    </w:div>
    <w:div w:id="19913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2C7B9-4C13-4083-AD71-5134826E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Babyak, Andrew</cp:lastModifiedBy>
  <cp:revision>3</cp:revision>
  <cp:lastPrinted>2012-02-13T15:05:00Z</cp:lastPrinted>
  <dcterms:created xsi:type="dcterms:W3CDTF">2017-05-24T16:44:00Z</dcterms:created>
  <dcterms:modified xsi:type="dcterms:W3CDTF">2017-05-24T18:29:00Z</dcterms:modified>
</cp:coreProperties>
</file>