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AD" w:rsidRDefault="004726B7">
      <w:r>
        <w:t>Social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1"/>
        <w:gridCol w:w="1585"/>
        <w:gridCol w:w="2742"/>
        <w:gridCol w:w="1976"/>
        <w:gridCol w:w="2516"/>
        <w:gridCol w:w="1571"/>
        <w:gridCol w:w="1429"/>
      </w:tblGrid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Undergraduate Learning Outcomes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Association with CSWE 2015 Standards- Competency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Association with CSWE 2015 Standards- dimension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 Learning Objective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Assignment and Measure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Target</w:t>
            </w:r>
          </w:p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Findings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Foundations for Learning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Develop skills common to the liberal arts and sciences: research, analysis, reflection, and communication</w:t>
            </w:r>
          </w:p>
          <w:p w:rsidR="007A0930" w:rsidRPr="00E413D8" w:rsidRDefault="007A0930" w:rsidP="00622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Breadth and depth of knowledge 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KNOWLE</w:t>
            </w:r>
            <w:bookmarkStart w:id="0" w:name="_GoBack"/>
            <w:bookmarkEnd w:id="0"/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DGE:</w:t>
            </w:r>
          </w:p>
          <w:p w:rsidR="007A0930" w:rsidRPr="00E413D8" w:rsidRDefault="007A0930" w:rsidP="0051344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Social workers understand the profession’s history, its mission, and the roles and responsibilities of the profession. Social Workers understand laws and regulations </w:t>
            </w:r>
            <w:r w:rsidR="0051344F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that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may impact practice at the </w:t>
            </w:r>
            <w:r w:rsidR="00570D82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micro, mezzo, and macro levels.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SOWK 221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:To be able to utilize concepts related to human behavior in engaging with individuals, families, groups, organizations and communities</w:t>
            </w:r>
          </w:p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assignment that includes the service learning  experience and the service learning journal:</w:t>
            </w:r>
          </w:p>
          <w:p w:rsidR="007A0930" w:rsidRPr="00E413D8" w:rsidRDefault="007A0930" w:rsidP="00622CF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Assignment component measured- 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Journal assignment that connects research on a specific client issue and how it has helped inform client engagement</w:t>
            </w: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7A0930" w:rsidRPr="00E413D8" w:rsidRDefault="007A0930" w:rsidP="00622C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80% on this component of the assignment.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22CF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92%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Breadth and depth of knowledge 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Develop knowledge common to the liberal arts and sciences in the fields of arts, humanities, natural sciences, and social sciences. Students will also develop specialized knowledge and disciplinary expertise 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Measure #2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KNOWLEDGE:</w:t>
            </w:r>
          </w:p>
          <w:p w:rsidR="007A0930" w:rsidRPr="00E413D8" w:rsidRDefault="007A0930" w:rsidP="00775C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Social workers understand the profession’s history, its mission, and the roles and responsibilities of the profession. Social Workers </w:t>
            </w:r>
            <w:r w:rsidR="00775C4D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laws and regulations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may impact practice at the </w:t>
            </w:r>
            <w:r w:rsidR="00775C4D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micro, mezzo, and macro levels.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69038F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SOWK 490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7A0930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Consistently demonstrate Ethical and Professional Behavior within Field Practice Setting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69038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Formal Final Field Evaluation: </w:t>
            </w:r>
            <w:r w:rsidR="0069038F"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Assignment component measured</w:t>
            </w:r>
            <w:r w:rsidR="0069038F"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- Competency #1, Knowledge. </w:t>
            </w:r>
            <w:r w:rsidR="0069038F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evaluation measures all competencies and dimensions within a practice setting utilizing a Likert Scale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a 3 on the Likert Scale.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CF7C36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Faith knowledge &amp; application.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Develop informed and mature convictions about Christian faith and practice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AFFECTIVE PROCESSES: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Social Workers understand how their personal experiences and affective reactions influence their professional judgment and behavior.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CF7C36" w:rsidP="004726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SOWK 221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To be able to </w:t>
            </w:r>
            <w:r w:rsidR="007A0930"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utilize concepts related to human behavior in engaging with individuals, families, groups, organizations and communities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6" w:rsidRPr="00E413D8" w:rsidRDefault="00CF7C36" w:rsidP="00CF7C3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assignment that includes the service learning  experience and the service learning journal:</w:t>
            </w:r>
          </w:p>
          <w:p w:rsidR="007A0930" w:rsidRPr="00E413D8" w:rsidRDefault="00CF7C36" w:rsidP="00CF7C36">
            <w:pPr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Assignment component measured- 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</w:t>
            </w:r>
            <w:r w:rsidR="007A0930"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ournal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</w:t>
            </w:r>
            <w:r w:rsidR="007A0930"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t>ssignment that assessed student reactions to the client, client issue and/or agency that may have positively/negatively impacted the ability to effectively engage with diverse clients and how the student appropriately addressed those reactions.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80% on this component of the assignment.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CF7C36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 Faith knowledge &amp; application.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Develop informed and mature convictions about Christian faith and practice</w:t>
            </w:r>
          </w:p>
          <w:p w:rsidR="007A0930" w:rsidRPr="00E413D8" w:rsidRDefault="003D6047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Measure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AFFECTIVE PROCESSES: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Social Workers understand how their personal experiences and affective reactions influence their professional judgment and behavior.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SOWK490: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Consistently demonstrate Ethical and Professional Behavior within Field Practice Setting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Formal Final Field Evaluation: Assignment component measured- 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#1, Affective Processes.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The evaluation measures all competencies and dimensions within a practice setting utilizing a Likert Scale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a 3 on the Likert Scale.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550B0D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Specialized skills and scholarship.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COGNITIVE PROCESSES: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Social workers recognize personal values and the distinction between personal and professional values when demonstrating ethical and professional behavior.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SOWK221:</w:t>
            </w: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To be able to utilize concepts related to human behavior in engaging with individuals, families, groups, organizations and communities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Course assignment that includes the service learning experience and the service learning journal: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Assignment component measured-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Journal assignment component that requires students to critically </w:t>
            </w:r>
            <w:r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evaluate a specific theory through assessing the strengths and weaknesses of applying a specific theory to her or his client.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All students will receive a minimum of 80% on this component of the assignment.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4546FB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2016-17:92%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Specialized skills and scholarship.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Become proficient in the scholarship of their discipline and demonstrate specialized skills needed to pursue a career and/or graduate school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Measure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COGNITIVE PROCESSES: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Social workers recognize personal values and the distinction between personal and professional values when demonstrating ethical and professional behavior.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SOWK490: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Consistently demonstrate Ethical and Professional Behavior within Field Practice Setting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Formal Final Field Evaluation: Assignment component measured- 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#1, Cognitive Processes.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The evaluation measures all competencies and dimensions within a practice setting utilizing a Likert Scale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a 3 on the Likert Scale.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3D6047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Self-Awareness.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Gain awareness of identity, character, and vocational calling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VALUES: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Social workers understand the value base of the profession and its ethical standards. “</w:t>
            </w:r>
            <w:r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t>Social workers elevate service to others above self-interest (NASW, 2008)”.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SOWK221:</w:t>
            </w:r>
            <w:r w:rsidRPr="00E413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To be able to utilize concepts related to human behavior in engaging with individuals, families, groups, organizations and communities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assignment that includes the service learning experience and the service learning journal: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Assignment component measured-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t>Journal assignment that assesse the connection between the demonstration of social work values and building strong professional social work/ client relationships.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80% on this component of the assignment.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5F11E9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Self-Awareness.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Gain awareness of identity, character, and vocational calling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1: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Demonstrate Ethical and Professional Behavior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VALUES: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eastAsia="Times New Roman" w:hAnsi="Times New Roman" w:cs="Times New Roman"/>
                <w:sz w:val="16"/>
                <w:szCs w:val="16"/>
              </w:rPr>
              <w:t>Social workers understand the value base of the profession and its ethical standards. “</w:t>
            </w:r>
            <w:r w:rsidRPr="00E413D8">
              <w:rPr>
                <w:rFonts w:ascii="Times New Roman" w:eastAsia="Calibri" w:hAnsi="Times New Roman" w:cs="Times New Roman"/>
                <w:sz w:val="16"/>
                <w:szCs w:val="16"/>
              </w:rPr>
              <w:t>Social workers elevate service to others above self-interest (NASW, 2008)”.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SOWK490:</w:t>
            </w:r>
          </w:p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Consistently demonstrate Ethical and Professional Behavior within Field Practice Setting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Formal Final Field Evaluation: Assignment component measured- 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Competency #1, Values.</w:t>
            </w: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The evaluation measures all competencies and dimensions within a practice setting utilizing a Likert Scale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All students will receive a minimum of a 3 on the Likert Scale.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5F11E9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2016-17: 100%</w:t>
            </w:r>
          </w:p>
        </w:tc>
      </w:tr>
      <w:tr w:rsidR="007A0930" w:rsidRPr="00E413D8" w:rsidTr="007A0930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6. Social responsibility. </w:t>
            </w: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Demonstrate a commitment to service, reconciliation, and justice, and lead effectively and ethically within the complexities of an increasingly diverse and interdependent world.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13D8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30" w:rsidRPr="00E413D8" w:rsidRDefault="007A0930" w:rsidP="004726B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726B7" w:rsidRDefault="004726B7"/>
    <w:sectPr w:rsidR="004726B7" w:rsidSect="004726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B7"/>
    <w:rsid w:val="002E30E1"/>
    <w:rsid w:val="003D6047"/>
    <w:rsid w:val="004546FB"/>
    <w:rsid w:val="004726B7"/>
    <w:rsid w:val="0051344F"/>
    <w:rsid w:val="00550B0D"/>
    <w:rsid w:val="00570D82"/>
    <w:rsid w:val="005F11E9"/>
    <w:rsid w:val="0069038F"/>
    <w:rsid w:val="00775C4D"/>
    <w:rsid w:val="007764AD"/>
    <w:rsid w:val="007A0930"/>
    <w:rsid w:val="00AB333D"/>
    <w:rsid w:val="00CF7C36"/>
    <w:rsid w:val="00DB55B4"/>
    <w:rsid w:val="00E413D8"/>
    <w:rsid w:val="00F3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7CF3"/>
  <w15:chartTrackingRefBased/>
  <w15:docId w15:val="{1FAB5B49-DFC3-4DC1-8298-EFF3DFDC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Donat, Susan</dc:creator>
  <cp:keywords/>
  <dc:description/>
  <cp:lastModifiedBy>Work Study - Provost</cp:lastModifiedBy>
  <cp:revision>5</cp:revision>
  <dcterms:created xsi:type="dcterms:W3CDTF">2017-11-02T16:12:00Z</dcterms:created>
  <dcterms:modified xsi:type="dcterms:W3CDTF">2017-11-02T16:25:00Z</dcterms:modified>
</cp:coreProperties>
</file>