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1445A" w14:textId="4FBC490D" w:rsidR="00CA4F00" w:rsidRPr="000C0699" w:rsidRDefault="008C3091" w:rsidP="00CA4F00">
      <w:pPr>
        <w:rPr>
          <w:b/>
        </w:rPr>
      </w:pPr>
      <w:r>
        <w:t>Department name:</w:t>
      </w:r>
      <w:r w:rsidR="00181975">
        <w:t xml:space="preserve"> </w:t>
      </w:r>
      <w:r w:rsidR="00B9457C">
        <w:t>COMM</w:t>
      </w:r>
      <w:r w:rsidR="00B9639A">
        <w:tab/>
      </w:r>
      <w:r w:rsidR="00B9639A">
        <w:tab/>
      </w:r>
      <w:r w:rsidR="00CA4F00">
        <w:t xml:space="preserve"> </w:t>
      </w:r>
      <w:r w:rsidR="00496CFF">
        <w:t>Major:</w:t>
      </w:r>
      <w:r w:rsidR="00181975">
        <w:t xml:space="preserve"> </w:t>
      </w:r>
    </w:p>
    <w:tbl>
      <w:tblPr>
        <w:tblStyle w:val="TableGrid"/>
        <w:tblW w:w="15750" w:type="dxa"/>
        <w:tblInd w:w="-792" w:type="dxa"/>
        <w:tblLayout w:type="fixed"/>
        <w:tblLook w:val="04A0" w:firstRow="1" w:lastRow="0" w:firstColumn="1" w:lastColumn="0" w:noHBand="0" w:noVBand="1"/>
      </w:tblPr>
      <w:tblGrid>
        <w:gridCol w:w="2970"/>
        <w:gridCol w:w="4590"/>
        <w:gridCol w:w="3330"/>
        <w:gridCol w:w="1440"/>
        <w:gridCol w:w="1350"/>
        <w:gridCol w:w="2070"/>
      </w:tblGrid>
      <w:tr w:rsidR="00B9457C" w14:paraId="7F96C7CB" w14:textId="77777777" w:rsidTr="00B9457C">
        <w:trPr>
          <w:tblHeader/>
        </w:trPr>
        <w:tc>
          <w:tcPr>
            <w:tcW w:w="2970" w:type="dxa"/>
          </w:tcPr>
          <w:p w14:paraId="3C881B18" w14:textId="3C79C02F" w:rsidR="00B9457C" w:rsidRPr="009F5490" w:rsidRDefault="00B9457C" w:rsidP="004A2594">
            <w:pPr>
              <w:rPr>
                <w:rFonts w:ascii="Arial Narrow" w:hAnsi="Arial Narrow"/>
                <w:b/>
                <w:sz w:val="20"/>
                <w:szCs w:val="20"/>
              </w:rPr>
            </w:pPr>
            <w:r>
              <w:rPr>
                <w:rFonts w:ascii="Arial Narrow" w:hAnsi="Arial Narrow"/>
                <w:b/>
                <w:sz w:val="18"/>
                <w:szCs w:val="18"/>
              </w:rPr>
              <w:t xml:space="preserve"> CWEO Category </w:t>
            </w:r>
          </w:p>
        </w:tc>
        <w:tc>
          <w:tcPr>
            <w:tcW w:w="4590" w:type="dxa"/>
          </w:tcPr>
          <w:p w14:paraId="40DCB516" w14:textId="77777777" w:rsidR="00B9457C" w:rsidRPr="000A2E98" w:rsidRDefault="00B9457C" w:rsidP="009F5490">
            <w:pPr>
              <w:rPr>
                <w:rFonts w:ascii="Arial Narrow" w:hAnsi="Arial Narrow"/>
                <w:b/>
                <w:sz w:val="20"/>
                <w:szCs w:val="20"/>
              </w:rPr>
            </w:pPr>
            <w:r w:rsidRPr="000A2E98">
              <w:rPr>
                <w:rFonts w:ascii="Arial Narrow" w:hAnsi="Arial Narrow"/>
                <w:b/>
                <w:sz w:val="20"/>
                <w:szCs w:val="20"/>
              </w:rPr>
              <w:t>Objectives</w:t>
            </w:r>
          </w:p>
        </w:tc>
        <w:tc>
          <w:tcPr>
            <w:tcW w:w="3330" w:type="dxa"/>
          </w:tcPr>
          <w:p w14:paraId="6E1BF417" w14:textId="77777777" w:rsidR="00B9457C" w:rsidRPr="00A04E46" w:rsidRDefault="00B9457C" w:rsidP="009F5490">
            <w:pPr>
              <w:rPr>
                <w:rFonts w:ascii="Arial Narrow" w:hAnsi="Arial Narrow"/>
                <w:b/>
                <w:sz w:val="20"/>
                <w:szCs w:val="20"/>
              </w:rPr>
            </w:pPr>
            <w:r w:rsidRPr="009F5490">
              <w:rPr>
                <w:rFonts w:ascii="Arial Narrow" w:hAnsi="Arial Narrow"/>
                <w:sz w:val="20"/>
                <w:szCs w:val="20"/>
              </w:rPr>
              <w:t>Courses in</w:t>
            </w:r>
            <w:r>
              <w:rPr>
                <w:rFonts w:ascii="Arial Narrow" w:hAnsi="Arial Narrow"/>
                <w:sz w:val="20"/>
                <w:szCs w:val="20"/>
              </w:rPr>
              <w:t xml:space="preserve"> </w:t>
            </w:r>
            <w:r w:rsidRPr="009F5490">
              <w:rPr>
                <w:rFonts w:ascii="Arial Narrow" w:hAnsi="Arial Narrow"/>
                <w:sz w:val="20"/>
                <w:szCs w:val="20"/>
              </w:rPr>
              <w:t>which students</w:t>
            </w:r>
            <w:r w:rsidRPr="00B3447D">
              <w:rPr>
                <w:rFonts w:ascii="Arial Narrow" w:hAnsi="Arial Narrow"/>
                <w:b/>
                <w:sz w:val="20"/>
                <w:szCs w:val="20"/>
              </w:rPr>
              <w:t xml:space="preserve"> receive feedback</w:t>
            </w:r>
            <w:r>
              <w:rPr>
                <w:rFonts w:ascii="Arial Narrow" w:hAnsi="Arial Narrow"/>
                <w:sz w:val="20"/>
                <w:szCs w:val="20"/>
              </w:rPr>
              <w:t xml:space="preserve"> on this objective.</w:t>
            </w:r>
          </w:p>
        </w:tc>
        <w:tc>
          <w:tcPr>
            <w:tcW w:w="1440" w:type="dxa"/>
          </w:tcPr>
          <w:p w14:paraId="41701429" w14:textId="77777777" w:rsidR="00B9457C" w:rsidRPr="00A04E46" w:rsidRDefault="00B9457C" w:rsidP="009F5490">
            <w:pPr>
              <w:rPr>
                <w:rFonts w:ascii="Arial Narrow" w:hAnsi="Arial Narrow"/>
                <w:sz w:val="20"/>
                <w:szCs w:val="20"/>
              </w:rPr>
            </w:pPr>
            <w:r w:rsidRPr="00A04E46">
              <w:rPr>
                <w:rFonts w:ascii="Arial Narrow" w:hAnsi="Arial Narrow"/>
                <w:b/>
                <w:sz w:val="20"/>
                <w:szCs w:val="20"/>
              </w:rPr>
              <w:t>Measure</w:t>
            </w:r>
            <w:r>
              <w:rPr>
                <w:rFonts w:ascii="Arial Narrow" w:hAnsi="Arial Narrow"/>
                <w:sz w:val="20"/>
                <w:szCs w:val="20"/>
              </w:rPr>
              <w:t xml:space="preserve"> (</w:t>
            </w:r>
            <w:r w:rsidRPr="00A04E46">
              <w:rPr>
                <w:rFonts w:ascii="Arial Narrow" w:hAnsi="Arial Narrow"/>
                <w:sz w:val="20"/>
                <w:szCs w:val="20"/>
              </w:rPr>
              <w:t>Method to gauge achievement</w:t>
            </w:r>
            <w:r>
              <w:rPr>
                <w:rFonts w:ascii="Arial Narrow" w:hAnsi="Arial Narrow"/>
                <w:sz w:val="20"/>
                <w:szCs w:val="20"/>
              </w:rPr>
              <w:t>)</w:t>
            </w:r>
          </w:p>
        </w:tc>
        <w:tc>
          <w:tcPr>
            <w:tcW w:w="1350" w:type="dxa"/>
          </w:tcPr>
          <w:p w14:paraId="03C241D7" w14:textId="77777777" w:rsidR="00B9457C" w:rsidRPr="00A04E46" w:rsidRDefault="00B9457C" w:rsidP="009F5490">
            <w:pPr>
              <w:rPr>
                <w:rFonts w:ascii="Arial Narrow" w:hAnsi="Arial Narrow"/>
                <w:sz w:val="20"/>
                <w:szCs w:val="20"/>
              </w:rPr>
            </w:pPr>
            <w:r w:rsidRPr="00A04E46">
              <w:rPr>
                <w:rFonts w:ascii="Arial Narrow" w:hAnsi="Arial Narrow"/>
                <w:b/>
                <w:sz w:val="20"/>
                <w:szCs w:val="20"/>
              </w:rPr>
              <w:t>Target</w:t>
            </w:r>
            <w:r>
              <w:rPr>
                <w:rFonts w:ascii="Arial Narrow" w:hAnsi="Arial Narrow"/>
                <w:sz w:val="20"/>
                <w:szCs w:val="20"/>
              </w:rPr>
              <w:t xml:space="preserve"> (</w:t>
            </w:r>
            <w:r w:rsidRPr="00CA51B4">
              <w:rPr>
                <w:rFonts w:ascii="Arial Narrow" w:hAnsi="Arial Narrow"/>
                <w:sz w:val="20"/>
                <w:szCs w:val="20"/>
              </w:rPr>
              <w:t>Overall level for satisfactory performance</w:t>
            </w:r>
            <w:r>
              <w:rPr>
                <w:rFonts w:ascii="Arial Narrow" w:hAnsi="Arial Narrow"/>
                <w:sz w:val="20"/>
                <w:szCs w:val="20"/>
              </w:rPr>
              <w:t>.)</w:t>
            </w:r>
          </w:p>
        </w:tc>
        <w:tc>
          <w:tcPr>
            <w:tcW w:w="2070" w:type="dxa"/>
          </w:tcPr>
          <w:p w14:paraId="4E647985" w14:textId="77777777" w:rsidR="00B9457C" w:rsidRPr="00933353" w:rsidRDefault="00B9457C" w:rsidP="009F5490">
            <w:pPr>
              <w:rPr>
                <w:rFonts w:ascii="Arial Narrow" w:hAnsi="Arial Narrow"/>
                <w:sz w:val="20"/>
                <w:szCs w:val="20"/>
              </w:rPr>
            </w:pPr>
            <w:r>
              <w:rPr>
                <w:rFonts w:ascii="Arial Narrow" w:hAnsi="Arial Narrow"/>
                <w:b/>
                <w:sz w:val="20"/>
                <w:szCs w:val="20"/>
              </w:rPr>
              <w:t xml:space="preserve">Timeline </w:t>
            </w:r>
            <w:r w:rsidRPr="009C190F">
              <w:rPr>
                <w:rFonts w:ascii="Arial Narrow" w:hAnsi="Arial Narrow"/>
                <w:sz w:val="20"/>
                <w:szCs w:val="20"/>
              </w:rPr>
              <w:t>(</w:t>
            </w:r>
            <w:r>
              <w:rPr>
                <w:rFonts w:ascii="Arial Narrow" w:hAnsi="Arial Narrow"/>
                <w:sz w:val="20"/>
                <w:szCs w:val="20"/>
              </w:rPr>
              <w:t>When &amp; how often is data collected?)</w:t>
            </w:r>
          </w:p>
        </w:tc>
      </w:tr>
      <w:tr w:rsidR="00B9457C" w14:paraId="30C915B5" w14:textId="77777777" w:rsidTr="00B9457C">
        <w:trPr>
          <w:tblHeader/>
        </w:trPr>
        <w:tc>
          <w:tcPr>
            <w:tcW w:w="2970" w:type="dxa"/>
          </w:tcPr>
          <w:p w14:paraId="3E383D67" w14:textId="77777777" w:rsidR="00B9457C" w:rsidRDefault="00B9457C" w:rsidP="004A2594">
            <w:pPr>
              <w:rPr>
                <w:rFonts w:ascii="Arial Narrow" w:hAnsi="Arial Narrow"/>
                <w:b/>
                <w:sz w:val="18"/>
                <w:szCs w:val="18"/>
              </w:rPr>
            </w:pPr>
          </w:p>
          <w:p w14:paraId="2EDF6A12" w14:textId="1F6EB8DB" w:rsidR="00B9457C" w:rsidRDefault="00CC545E" w:rsidP="004A2594">
            <w:pPr>
              <w:rPr>
                <w:rFonts w:ascii="Arial Narrow" w:hAnsi="Arial Narrow"/>
                <w:b/>
                <w:sz w:val="18"/>
                <w:szCs w:val="18"/>
              </w:rPr>
            </w:pPr>
            <w:r>
              <w:rPr>
                <w:rFonts w:ascii="Arial Narrow" w:hAnsi="Arial Narrow"/>
                <w:b/>
                <w:sz w:val="18"/>
                <w:szCs w:val="18"/>
              </w:rPr>
              <w:t xml:space="preserve">ULO 4: Applied Skills &amp; Scholarship: </w:t>
            </w:r>
            <w:r w:rsidRPr="00CC545E">
              <w:rPr>
                <w:rFonts w:asciiTheme="minorHAnsi" w:hAnsiTheme="minorHAnsi"/>
                <w:sz w:val="20"/>
              </w:rPr>
              <w:t>Students will become proficient in the scholarship of their discipline and demonstrate specialized skills needed to pursue a career and/or graduate school.</w:t>
            </w:r>
          </w:p>
        </w:tc>
        <w:tc>
          <w:tcPr>
            <w:tcW w:w="4590" w:type="dxa"/>
          </w:tcPr>
          <w:p w14:paraId="0BAFBD42" w14:textId="0220A355" w:rsidR="003B7F79" w:rsidRPr="00AD1BB3" w:rsidRDefault="003B7F79" w:rsidP="003B7F79">
            <w:pPr>
              <w:numPr>
                <w:ilvl w:val="0"/>
                <w:numId w:val="4"/>
              </w:numPr>
              <w:rPr>
                <w:rFonts w:cs="Times New Roman"/>
                <w:sz w:val="18"/>
                <w:szCs w:val="18"/>
                <w:highlight w:val="yellow"/>
              </w:rPr>
            </w:pPr>
            <w:r>
              <w:rPr>
                <w:rFonts w:cs="Times New Roman"/>
                <w:sz w:val="18"/>
                <w:szCs w:val="18"/>
                <w:highlight w:val="yellow"/>
              </w:rPr>
              <w:t>O1</w:t>
            </w:r>
            <w:r w:rsidRPr="00AD1BB3">
              <w:rPr>
                <w:rFonts w:cs="Times New Roman"/>
                <w:sz w:val="18"/>
                <w:szCs w:val="18"/>
                <w:highlight w:val="yellow"/>
              </w:rPr>
              <w:t xml:space="preserve">: Students will apply tools and technologies appropriate for the communication professions in which they serve (radio, TV, web).  </w:t>
            </w:r>
          </w:p>
          <w:p w14:paraId="10279417" w14:textId="77777777" w:rsidR="00B9457C" w:rsidRPr="000A2E98" w:rsidRDefault="00B9457C" w:rsidP="003B7F79">
            <w:pPr>
              <w:rPr>
                <w:rFonts w:ascii="Arial Narrow" w:hAnsi="Arial Narrow"/>
                <w:b/>
                <w:sz w:val="20"/>
                <w:szCs w:val="20"/>
              </w:rPr>
            </w:pPr>
          </w:p>
        </w:tc>
        <w:tc>
          <w:tcPr>
            <w:tcW w:w="3330" w:type="dxa"/>
          </w:tcPr>
          <w:p w14:paraId="5968F1C6" w14:textId="77777777" w:rsidR="00B9457C" w:rsidRPr="009F5490" w:rsidRDefault="00B9457C" w:rsidP="009F5490">
            <w:pPr>
              <w:rPr>
                <w:rFonts w:ascii="Arial Narrow" w:hAnsi="Arial Narrow"/>
                <w:sz w:val="20"/>
                <w:szCs w:val="20"/>
              </w:rPr>
            </w:pPr>
          </w:p>
        </w:tc>
        <w:tc>
          <w:tcPr>
            <w:tcW w:w="1440" w:type="dxa"/>
          </w:tcPr>
          <w:p w14:paraId="2A101458" w14:textId="50E5050F" w:rsidR="00B9457C" w:rsidRPr="00A04E46" w:rsidRDefault="001076CB" w:rsidP="009F5490">
            <w:pPr>
              <w:rPr>
                <w:rFonts w:ascii="Arial Narrow" w:hAnsi="Arial Narrow"/>
                <w:b/>
                <w:sz w:val="20"/>
                <w:szCs w:val="20"/>
              </w:rPr>
            </w:pPr>
            <w:r>
              <w:rPr>
                <w:rFonts w:cs="Times New Roman"/>
                <w:sz w:val="18"/>
                <w:szCs w:val="18"/>
              </w:rPr>
              <w:t xml:space="preserve">COMM 493 </w:t>
            </w:r>
            <w:r>
              <w:rPr>
                <w:rFonts w:ascii="Arial Narrow" w:hAnsi="Arial Narrow"/>
                <w:b/>
                <w:sz w:val="20"/>
                <w:szCs w:val="20"/>
              </w:rPr>
              <w:t>Senior Seminar Final Portfolio</w:t>
            </w:r>
          </w:p>
        </w:tc>
        <w:tc>
          <w:tcPr>
            <w:tcW w:w="1350" w:type="dxa"/>
          </w:tcPr>
          <w:p w14:paraId="45E93E86" w14:textId="4D58DFC3" w:rsidR="00B9457C" w:rsidRPr="001076CB" w:rsidRDefault="001076CB" w:rsidP="009F5490">
            <w:pPr>
              <w:rPr>
                <w:rFonts w:cs="Times New Roman"/>
                <w:sz w:val="18"/>
                <w:szCs w:val="18"/>
              </w:rPr>
            </w:pPr>
            <w:r w:rsidRPr="007438CF">
              <w:rPr>
                <w:rFonts w:cs="Times New Roman"/>
                <w:sz w:val="18"/>
                <w:szCs w:val="18"/>
              </w:rPr>
              <w:t xml:space="preserve">80% of student portfolio work sample sections will earn </w:t>
            </w:r>
            <w:r>
              <w:rPr>
                <w:rFonts w:cs="Times New Roman"/>
                <w:sz w:val="18"/>
                <w:szCs w:val="18"/>
              </w:rPr>
              <w:t>a score of at least 3 out of 4 on the rubric</w:t>
            </w:r>
          </w:p>
        </w:tc>
        <w:tc>
          <w:tcPr>
            <w:tcW w:w="2070" w:type="dxa"/>
          </w:tcPr>
          <w:p w14:paraId="20106A41" w14:textId="77777777" w:rsidR="00B9457C" w:rsidRDefault="00B9457C" w:rsidP="009F5490">
            <w:pPr>
              <w:rPr>
                <w:rFonts w:ascii="Arial Narrow" w:hAnsi="Arial Narrow"/>
                <w:b/>
                <w:sz w:val="20"/>
                <w:szCs w:val="20"/>
              </w:rPr>
            </w:pPr>
          </w:p>
        </w:tc>
      </w:tr>
      <w:tr w:rsidR="00B9457C" w14:paraId="4A89C0C2" w14:textId="77777777" w:rsidTr="00B9457C">
        <w:trPr>
          <w:tblHeader/>
        </w:trPr>
        <w:tc>
          <w:tcPr>
            <w:tcW w:w="2970" w:type="dxa"/>
          </w:tcPr>
          <w:p w14:paraId="0E986EE3" w14:textId="77777777" w:rsidR="00B9457C" w:rsidRDefault="00B9457C" w:rsidP="004A2594">
            <w:pPr>
              <w:rPr>
                <w:rFonts w:ascii="Arial Narrow" w:hAnsi="Arial Narrow"/>
                <w:b/>
                <w:sz w:val="18"/>
                <w:szCs w:val="18"/>
              </w:rPr>
            </w:pPr>
          </w:p>
          <w:p w14:paraId="6D2CC4A2" w14:textId="5CBFDCDA" w:rsidR="00B9457C" w:rsidRDefault="00BE31A4" w:rsidP="004A2594">
            <w:pPr>
              <w:rPr>
                <w:rFonts w:ascii="Arial Narrow" w:hAnsi="Arial Narrow"/>
                <w:b/>
                <w:sz w:val="18"/>
                <w:szCs w:val="18"/>
              </w:rPr>
            </w:pPr>
            <w:r>
              <w:rPr>
                <w:rFonts w:ascii="Arial Narrow" w:hAnsi="Arial Narrow"/>
                <w:b/>
                <w:sz w:val="18"/>
                <w:szCs w:val="18"/>
              </w:rPr>
              <w:t xml:space="preserve">ULO 4: Applied Skills &amp; Scholarship: </w:t>
            </w:r>
            <w:r w:rsidRPr="00CC545E">
              <w:rPr>
                <w:rFonts w:asciiTheme="minorHAnsi" w:hAnsiTheme="minorHAnsi"/>
                <w:sz w:val="20"/>
              </w:rPr>
              <w:t>Students will become proficient in the scholarship of their discipline and demonstrate specialized skills needed to pursue a career and/or graduate school.</w:t>
            </w:r>
          </w:p>
        </w:tc>
        <w:tc>
          <w:tcPr>
            <w:tcW w:w="4590" w:type="dxa"/>
          </w:tcPr>
          <w:p w14:paraId="3926B54B" w14:textId="43935664" w:rsidR="003B7F79" w:rsidRPr="00AD1BB3" w:rsidRDefault="003B7F79" w:rsidP="003B7F79">
            <w:pPr>
              <w:numPr>
                <w:ilvl w:val="0"/>
                <w:numId w:val="4"/>
              </w:numPr>
              <w:rPr>
                <w:rFonts w:cs="Times New Roman"/>
                <w:sz w:val="18"/>
                <w:szCs w:val="18"/>
                <w:highlight w:val="yellow"/>
              </w:rPr>
            </w:pPr>
            <w:r>
              <w:rPr>
                <w:rFonts w:cs="Times New Roman"/>
                <w:sz w:val="18"/>
                <w:szCs w:val="18"/>
                <w:highlight w:val="yellow"/>
              </w:rPr>
              <w:t>O2</w:t>
            </w:r>
            <w:bookmarkStart w:id="0" w:name="_GoBack"/>
            <w:bookmarkEnd w:id="0"/>
            <w:r w:rsidRPr="00AD1BB3">
              <w:rPr>
                <w:rFonts w:cs="Times New Roman"/>
                <w:sz w:val="18"/>
                <w:szCs w:val="18"/>
                <w:highlight w:val="yellow"/>
              </w:rPr>
              <w:t>: Students will research effectively, write correctly and clearly in forms and styles appropriate for the communication professions, audiences, and purposes they serve, and present images and information effectively</w:t>
            </w:r>
          </w:p>
          <w:p w14:paraId="7FAD4909" w14:textId="77777777" w:rsidR="00B9457C" w:rsidRPr="000A2E98" w:rsidRDefault="00B9457C" w:rsidP="00BE31A4">
            <w:pPr>
              <w:ind w:left="720"/>
              <w:rPr>
                <w:rFonts w:ascii="Arial Narrow" w:hAnsi="Arial Narrow"/>
                <w:b/>
                <w:sz w:val="20"/>
                <w:szCs w:val="20"/>
              </w:rPr>
            </w:pPr>
          </w:p>
        </w:tc>
        <w:tc>
          <w:tcPr>
            <w:tcW w:w="3330" w:type="dxa"/>
          </w:tcPr>
          <w:p w14:paraId="35D7DB67" w14:textId="77777777" w:rsidR="00B9457C" w:rsidRPr="009F5490" w:rsidRDefault="00B9457C" w:rsidP="009F5490">
            <w:pPr>
              <w:rPr>
                <w:rFonts w:ascii="Arial Narrow" w:hAnsi="Arial Narrow"/>
                <w:sz w:val="20"/>
                <w:szCs w:val="20"/>
              </w:rPr>
            </w:pPr>
          </w:p>
        </w:tc>
        <w:tc>
          <w:tcPr>
            <w:tcW w:w="1440" w:type="dxa"/>
          </w:tcPr>
          <w:p w14:paraId="3508BF15" w14:textId="47DD3205" w:rsidR="00B9457C" w:rsidRPr="00A04E46" w:rsidRDefault="001076CB" w:rsidP="009F5490">
            <w:pPr>
              <w:rPr>
                <w:rFonts w:ascii="Arial Narrow" w:hAnsi="Arial Narrow"/>
                <w:b/>
                <w:sz w:val="20"/>
                <w:szCs w:val="20"/>
              </w:rPr>
            </w:pPr>
            <w:r>
              <w:rPr>
                <w:rFonts w:ascii="Arial Narrow" w:hAnsi="Arial Narrow"/>
                <w:b/>
                <w:sz w:val="20"/>
                <w:szCs w:val="20"/>
              </w:rPr>
              <w:t>Senior Seminar Final Portfolio</w:t>
            </w:r>
          </w:p>
        </w:tc>
        <w:tc>
          <w:tcPr>
            <w:tcW w:w="1350" w:type="dxa"/>
          </w:tcPr>
          <w:p w14:paraId="2B97591A" w14:textId="4CC9BDBC" w:rsidR="00B9457C" w:rsidRPr="00A04E46" w:rsidRDefault="001076CB" w:rsidP="009F5490">
            <w:pPr>
              <w:rPr>
                <w:rFonts w:ascii="Arial Narrow" w:hAnsi="Arial Narrow"/>
                <w:b/>
                <w:sz w:val="20"/>
                <w:szCs w:val="20"/>
              </w:rPr>
            </w:pPr>
            <w:r w:rsidRPr="007438CF">
              <w:rPr>
                <w:rFonts w:cs="Times New Roman"/>
                <w:sz w:val="18"/>
                <w:szCs w:val="18"/>
              </w:rPr>
              <w:t xml:space="preserve">80% of student portfolio work sample sections will earn </w:t>
            </w:r>
            <w:r>
              <w:rPr>
                <w:rFonts w:cs="Times New Roman"/>
                <w:sz w:val="18"/>
                <w:szCs w:val="18"/>
              </w:rPr>
              <w:t>a score of at least 3 out of 4 on the rubric</w:t>
            </w:r>
          </w:p>
        </w:tc>
        <w:tc>
          <w:tcPr>
            <w:tcW w:w="2070" w:type="dxa"/>
          </w:tcPr>
          <w:p w14:paraId="6842176E" w14:textId="77777777" w:rsidR="00B9457C" w:rsidRDefault="00B9457C" w:rsidP="009F5490">
            <w:pPr>
              <w:rPr>
                <w:rFonts w:ascii="Arial Narrow" w:hAnsi="Arial Narrow"/>
                <w:b/>
                <w:sz w:val="20"/>
                <w:szCs w:val="20"/>
              </w:rPr>
            </w:pPr>
          </w:p>
        </w:tc>
      </w:tr>
      <w:tr w:rsidR="00B9457C" w14:paraId="1985D48F" w14:textId="77777777" w:rsidTr="00B9457C">
        <w:trPr>
          <w:tblHeader/>
        </w:trPr>
        <w:tc>
          <w:tcPr>
            <w:tcW w:w="2970" w:type="dxa"/>
          </w:tcPr>
          <w:p w14:paraId="08E2C579" w14:textId="77777777" w:rsidR="00B9457C" w:rsidRDefault="00B9457C" w:rsidP="004A2594">
            <w:pPr>
              <w:rPr>
                <w:rFonts w:ascii="Arial Narrow" w:hAnsi="Arial Narrow"/>
                <w:b/>
                <w:sz w:val="18"/>
                <w:szCs w:val="18"/>
              </w:rPr>
            </w:pPr>
          </w:p>
          <w:p w14:paraId="0B65E01B" w14:textId="4A3A42B5" w:rsidR="00B9457C" w:rsidRDefault="00B9457C" w:rsidP="004A2594">
            <w:pPr>
              <w:rPr>
                <w:rFonts w:ascii="Arial Narrow" w:hAnsi="Arial Narrow"/>
                <w:b/>
                <w:sz w:val="18"/>
                <w:szCs w:val="18"/>
              </w:rPr>
            </w:pPr>
          </w:p>
        </w:tc>
        <w:tc>
          <w:tcPr>
            <w:tcW w:w="4590" w:type="dxa"/>
          </w:tcPr>
          <w:p w14:paraId="393F7E86" w14:textId="77777777" w:rsidR="00B9457C" w:rsidRPr="000A2E98" w:rsidRDefault="00B9457C" w:rsidP="003222B2">
            <w:pPr>
              <w:ind w:left="720"/>
              <w:rPr>
                <w:rFonts w:ascii="Arial Narrow" w:hAnsi="Arial Narrow"/>
                <w:b/>
                <w:sz w:val="20"/>
                <w:szCs w:val="20"/>
              </w:rPr>
            </w:pPr>
          </w:p>
        </w:tc>
        <w:tc>
          <w:tcPr>
            <w:tcW w:w="3330" w:type="dxa"/>
          </w:tcPr>
          <w:p w14:paraId="53E5AF7F" w14:textId="77777777" w:rsidR="00B9457C" w:rsidRPr="009F5490" w:rsidRDefault="00B9457C" w:rsidP="009F5490">
            <w:pPr>
              <w:rPr>
                <w:rFonts w:ascii="Arial Narrow" w:hAnsi="Arial Narrow"/>
                <w:sz w:val="20"/>
                <w:szCs w:val="20"/>
              </w:rPr>
            </w:pPr>
          </w:p>
        </w:tc>
        <w:tc>
          <w:tcPr>
            <w:tcW w:w="1440" w:type="dxa"/>
          </w:tcPr>
          <w:p w14:paraId="2D8A8CA8" w14:textId="1F1FD7B2" w:rsidR="00B9457C" w:rsidRPr="00A04E46" w:rsidRDefault="00B9457C" w:rsidP="009F5490">
            <w:pPr>
              <w:rPr>
                <w:rFonts w:ascii="Arial Narrow" w:hAnsi="Arial Narrow"/>
                <w:b/>
                <w:sz w:val="20"/>
                <w:szCs w:val="20"/>
              </w:rPr>
            </w:pPr>
          </w:p>
        </w:tc>
        <w:tc>
          <w:tcPr>
            <w:tcW w:w="1350" w:type="dxa"/>
          </w:tcPr>
          <w:p w14:paraId="3742C3A0" w14:textId="0E99034A" w:rsidR="00B9457C" w:rsidRPr="00A04E46" w:rsidRDefault="00B9457C" w:rsidP="009F5490">
            <w:pPr>
              <w:rPr>
                <w:rFonts w:ascii="Arial Narrow" w:hAnsi="Arial Narrow"/>
                <w:b/>
                <w:sz w:val="20"/>
                <w:szCs w:val="20"/>
              </w:rPr>
            </w:pPr>
          </w:p>
        </w:tc>
        <w:tc>
          <w:tcPr>
            <w:tcW w:w="2070" w:type="dxa"/>
          </w:tcPr>
          <w:p w14:paraId="1757AC9E" w14:textId="77777777" w:rsidR="00B9457C" w:rsidRDefault="00B9457C" w:rsidP="009F5490">
            <w:pPr>
              <w:rPr>
                <w:rFonts w:ascii="Arial Narrow" w:hAnsi="Arial Narrow"/>
                <w:b/>
                <w:sz w:val="20"/>
                <w:szCs w:val="20"/>
              </w:rPr>
            </w:pPr>
          </w:p>
        </w:tc>
      </w:tr>
      <w:tr w:rsidR="00B9457C" w14:paraId="0CB684C1" w14:textId="77777777" w:rsidTr="00B9457C">
        <w:trPr>
          <w:tblHeader/>
        </w:trPr>
        <w:tc>
          <w:tcPr>
            <w:tcW w:w="2970" w:type="dxa"/>
            <w:tcBorders>
              <w:bottom w:val="single" w:sz="4" w:space="0" w:color="auto"/>
            </w:tcBorders>
          </w:tcPr>
          <w:p w14:paraId="38D6416F" w14:textId="77777777" w:rsidR="00B9457C" w:rsidRDefault="00B9457C" w:rsidP="004A2594">
            <w:pPr>
              <w:rPr>
                <w:rFonts w:ascii="Arial Narrow" w:hAnsi="Arial Narrow"/>
                <w:b/>
                <w:sz w:val="18"/>
                <w:szCs w:val="18"/>
              </w:rPr>
            </w:pPr>
          </w:p>
          <w:p w14:paraId="55E47790" w14:textId="6EA130B3" w:rsidR="003222B2" w:rsidRDefault="003222B2" w:rsidP="004A2594">
            <w:pPr>
              <w:rPr>
                <w:rFonts w:ascii="Arial Narrow" w:hAnsi="Arial Narrow"/>
                <w:b/>
                <w:sz w:val="18"/>
                <w:szCs w:val="18"/>
              </w:rPr>
            </w:pPr>
          </w:p>
        </w:tc>
        <w:tc>
          <w:tcPr>
            <w:tcW w:w="4590" w:type="dxa"/>
            <w:tcBorders>
              <w:bottom w:val="single" w:sz="4" w:space="0" w:color="auto"/>
            </w:tcBorders>
          </w:tcPr>
          <w:p w14:paraId="38CBA88E" w14:textId="77777777" w:rsidR="00B9457C" w:rsidRPr="000A2E98" w:rsidRDefault="00B9457C" w:rsidP="003222B2">
            <w:pPr>
              <w:rPr>
                <w:rFonts w:ascii="Arial Narrow" w:hAnsi="Arial Narrow"/>
                <w:b/>
                <w:sz w:val="20"/>
                <w:szCs w:val="20"/>
              </w:rPr>
            </w:pPr>
          </w:p>
        </w:tc>
        <w:tc>
          <w:tcPr>
            <w:tcW w:w="3330" w:type="dxa"/>
            <w:tcBorders>
              <w:bottom w:val="single" w:sz="4" w:space="0" w:color="auto"/>
            </w:tcBorders>
          </w:tcPr>
          <w:p w14:paraId="780E0FDF" w14:textId="77777777" w:rsidR="00B9457C" w:rsidRPr="009F5490" w:rsidRDefault="00B9457C" w:rsidP="009F5490">
            <w:pPr>
              <w:rPr>
                <w:rFonts w:ascii="Arial Narrow" w:hAnsi="Arial Narrow"/>
                <w:sz w:val="20"/>
                <w:szCs w:val="20"/>
              </w:rPr>
            </w:pPr>
          </w:p>
        </w:tc>
        <w:tc>
          <w:tcPr>
            <w:tcW w:w="1440" w:type="dxa"/>
            <w:tcBorders>
              <w:bottom w:val="single" w:sz="4" w:space="0" w:color="auto"/>
            </w:tcBorders>
          </w:tcPr>
          <w:p w14:paraId="4E83D85E" w14:textId="77777777" w:rsidR="00B9457C" w:rsidRPr="00A04E46" w:rsidRDefault="00B9457C" w:rsidP="009F5490">
            <w:pPr>
              <w:rPr>
                <w:rFonts w:ascii="Arial Narrow" w:hAnsi="Arial Narrow"/>
                <w:b/>
                <w:sz w:val="20"/>
                <w:szCs w:val="20"/>
              </w:rPr>
            </w:pPr>
          </w:p>
        </w:tc>
        <w:tc>
          <w:tcPr>
            <w:tcW w:w="1350" w:type="dxa"/>
            <w:tcBorders>
              <w:bottom w:val="single" w:sz="4" w:space="0" w:color="auto"/>
            </w:tcBorders>
          </w:tcPr>
          <w:p w14:paraId="33107FD1" w14:textId="77777777" w:rsidR="00B9457C" w:rsidRPr="00A04E46" w:rsidRDefault="00B9457C" w:rsidP="009F5490">
            <w:pPr>
              <w:rPr>
                <w:rFonts w:ascii="Arial Narrow" w:hAnsi="Arial Narrow"/>
                <w:b/>
                <w:sz w:val="20"/>
                <w:szCs w:val="20"/>
              </w:rPr>
            </w:pPr>
          </w:p>
        </w:tc>
        <w:tc>
          <w:tcPr>
            <w:tcW w:w="2070" w:type="dxa"/>
            <w:tcBorders>
              <w:bottom w:val="single" w:sz="4" w:space="0" w:color="auto"/>
            </w:tcBorders>
          </w:tcPr>
          <w:p w14:paraId="1B043D75" w14:textId="77777777" w:rsidR="00B9457C" w:rsidRDefault="00B9457C" w:rsidP="009F5490">
            <w:pPr>
              <w:rPr>
                <w:rFonts w:ascii="Arial Narrow" w:hAnsi="Arial Narrow"/>
                <w:b/>
                <w:sz w:val="20"/>
                <w:szCs w:val="20"/>
              </w:rPr>
            </w:pPr>
          </w:p>
        </w:tc>
      </w:tr>
    </w:tbl>
    <w:p w14:paraId="3C8837AC" w14:textId="77777777" w:rsidR="00B9457C" w:rsidRDefault="00B9457C">
      <w:pPr>
        <w:rPr>
          <w:rFonts w:cs="Times New Roman"/>
          <w:sz w:val="20"/>
          <w:szCs w:val="20"/>
        </w:rPr>
      </w:pPr>
    </w:p>
    <w:p w14:paraId="50CC873E" w14:textId="77777777" w:rsidR="00B9457C" w:rsidRDefault="00B9457C">
      <w:pPr>
        <w:rPr>
          <w:rFonts w:cs="Times New Roman"/>
          <w:sz w:val="20"/>
          <w:szCs w:val="20"/>
        </w:rPr>
      </w:pPr>
    </w:p>
    <w:p w14:paraId="516D337C" w14:textId="4A6779F5" w:rsidR="00B9457C" w:rsidRDefault="00B9457C">
      <w:pPr>
        <w:rPr>
          <w:rFonts w:cs="Times New Roman"/>
          <w:sz w:val="20"/>
          <w:szCs w:val="20"/>
        </w:rPr>
      </w:pPr>
      <w:r>
        <w:rPr>
          <w:rFonts w:cs="Times New Roman"/>
          <w:sz w:val="20"/>
          <w:szCs w:val="20"/>
        </w:rPr>
        <w:t xml:space="preserve">Undergraduate Learning Outcomes (for CWEO association column): </w:t>
      </w:r>
    </w:p>
    <w:p w14:paraId="0A15AFFF" w14:textId="77777777" w:rsidR="00B9457C" w:rsidRPr="00B9457C" w:rsidRDefault="00B9457C" w:rsidP="00B9457C">
      <w:pPr>
        <w:rPr>
          <w:rFonts w:cs="Times New Roman"/>
          <w:sz w:val="20"/>
          <w:szCs w:val="20"/>
        </w:rPr>
      </w:pPr>
      <w:r w:rsidRPr="00B9457C">
        <w:rPr>
          <w:rFonts w:cs="Times New Roman"/>
          <w:sz w:val="20"/>
          <w:szCs w:val="20"/>
        </w:rPr>
        <w:t xml:space="preserve">1. </w:t>
      </w:r>
      <w:r w:rsidRPr="00B9457C">
        <w:rPr>
          <w:rFonts w:cs="Times New Roman"/>
          <w:sz w:val="20"/>
          <w:szCs w:val="20"/>
          <w:u w:val="single"/>
        </w:rPr>
        <w:t>Foundations for Learning</w:t>
      </w:r>
      <w:r w:rsidRPr="00B9457C">
        <w:rPr>
          <w:rFonts w:cs="Times New Roman"/>
          <w:sz w:val="20"/>
          <w:szCs w:val="20"/>
        </w:rPr>
        <w:t>: Students will develop skills common to the liberal arts and sciences: research, analysis, reflection, and communication</w:t>
      </w:r>
    </w:p>
    <w:p w14:paraId="7D0D7817" w14:textId="77777777" w:rsidR="00B9457C" w:rsidRPr="00B9457C" w:rsidRDefault="00B9457C" w:rsidP="00B9457C">
      <w:pPr>
        <w:rPr>
          <w:rFonts w:cs="Times New Roman"/>
          <w:sz w:val="20"/>
          <w:szCs w:val="20"/>
        </w:rPr>
      </w:pPr>
      <w:r w:rsidRPr="001076CB">
        <w:rPr>
          <w:rFonts w:cs="Times New Roman"/>
          <w:sz w:val="20"/>
          <w:szCs w:val="20"/>
        </w:rPr>
        <w:t xml:space="preserve">2. </w:t>
      </w:r>
      <w:r w:rsidRPr="001076CB">
        <w:rPr>
          <w:rFonts w:cs="Times New Roman"/>
          <w:sz w:val="20"/>
          <w:szCs w:val="20"/>
          <w:u w:val="single"/>
        </w:rPr>
        <w:t>Breadth and Depth of Knowledge</w:t>
      </w:r>
      <w:r w:rsidRPr="001076CB">
        <w:rPr>
          <w:rFonts w:cs="Times New Roman"/>
          <w:sz w:val="20"/>
          <w:szCs w:val="20"/>
        </w:rPr>
        <w:t>: Students will develop knowledge common to the liberal arts and sciences in the fields of arts, humanities, natural sciences, and social sciences. Students will also develop specialized knowledge and disciplinary expertise</w:t>
      </w:r>
    </w:p>
    <w:p w14:paraId="08C4FBE0" w14:textId="77777777" w:rsidR="00B9457C" w:rsidRPr="00B9457C" w:rsidRDefault="00B9457C" w:rsidP="00B9457C">
      <w:pPr>
        <w:rPr>
          <w:rFonts w:cs="Times New Roman"/>
          <w:sz w:val="20"/>
          <w:szCs w:val="20"/>
        </w:rPr>
      </w:pPr>
      <w:r w:rsidRPr="00B9457C">
        <w:rPr>
          <w:rFonts w:cs="Times New Roman"/>
          <w:sz w:val="20"/>
          <w:szCs w:val="20"/>
        </w:rPr>
        <w:t xml:space="preserve">3. </w:t>
      </w:r>
      <w:r w:rsidRPr="00B9457C">
        <w:rPr>
          <w:rFonts w:cs="Times New Roman"/>
          <w:sz w:val="20"/>
          <w:szCs w:val="20"/>
          <w:u w:val="single"/>
        </w:rPr>
        <w:t>Faith Knowledge &amp; Application</w:t>
      </w:r>
      <w:r w:rsidRPr="00B9457C">
        <w:rPr>
          <w:rFonts w:cs="Times New Roman"/>
          <w:sz w:val="20"/>
          <w:szCs w:val="20"/>
        </w:rPr>
        <w:t>: Students will develop informed and mature convictions about Christian faith and practice</w:t>
      </w:r>
    </w:p>
    <w:p w14:paraId="07FF7B0C" w14:textId="77777777" w:rsidR="00B9457C" w:rsidRPr="00B9457C" w:rsidRDefault="00B9457C" w:rsidP="00B9457C">
      <w:pPr>
        <w:rPr>
          <w:rFonts w:cs="Times New Roman"/>
          <w:sz w:val="20"/>
          <w:szCs w:val="20"/>
        </w:rPr>
      </w:pPr>
      <w:r w:rsidRPr="00B9457C">
        <w:rPr>
          <w:rFonts w:cs="Times New Roman"/>
          <w:sz w:val="20"/>
          <w:szCs w:val="20"/>
          <w:highlight w:val="yellow"/>
        </w:rPr>
        <w:t xml:space="preserve">4. </w:t>
      </w:r>
      <w:r w:rsidRPr="00B9457C">
        <w:rPr>
          <w:rFonts w:cs="Times New Roman"/>
          <w:sz w:val="20"/>
          <w:szCs w:val="20"/>
          <w:highlight w:val="yellow"/>
          <w:u w:val="single"/>
        </w:rPr>
        <w:t>Specialized Skills &amp; Scholarship</w:t>
      </w:r>
      <w:r w:rsidRPr="00B9457C">
        <w:rPr>
          <w:rFonts w:cs="Times New Roman"/>
          <w:sz w:val="20"/>
          <w:szCs w:val="20"/>
          <w:highlight w:val="yellow"/>
        </w:rPr>
        <w:t>: Students will become proficient in the scholarship of their discipline and demonstrate specialized skills needed to pursue a career and/or graduate school</w:t>
      </w:r>
    </w:p>
    <w:p w14:paraId="6F203773" w14:textId="77777777" w:rsidR="00B9457C" w:rsidRPr="00B9457C" w:rsidRDefault="00B9457C" w:rsidP="00B9457C">
      <w:pPr>
        <w:rPr>
          <w:rFonts w:cs="Times New Roman"/>
          <w:sz w:val="20"/>
          <w:szCs w:val="20"/>
        </w:rPr>
      </w:pPr>
      <w:r w:rsidRPr="00B9457C">
        <w:rPr>
          <w:rFonts w:cs="Times New Roman"/>
          <w:sz w:val="20"/>
          <w:szCs w:val="20"/>
        </w:rPr>
        <w:t xml:space="preserve">5. </w:t>
      </w:r>
      <w:r w:rsidRPr="00B9457C">
        <w:rPr>
          <w:rFonts w:cs="Times New Roman"/>
          <w:sz w:val="20"/>
          <w:szCs w:val="20"/>
          <w:u w:val="single"/>
        </w:rPr>
        <w:t>Self-Awareness</w:t>
      </w:r>
      <w:r w:rsidRPr="00B9457C">
        <w:rPr>
          <w:rFonts w:cs="Times New Roman"/>
          <w:sz w:val="20"/>
          <w:szCs w:val="20"/>
        </w:rPr>
        <w:t>: Students will gain awareness of identity, character, and vocational calling</w:t>
      </w:r>
    </w:p>
    <w:p w14:paraId="41FC2A8B" w14:textId="77777777" w:rsidR="00B9457C" w:rsidRPr="00B9457C" w:rsidRDefault="00B9457C" w:rsidP="00B9457C">
      <w:pPr>
        <w:rPr>
          <w:rFonts w:cs="Times New Roman"/>
          <w:sz w:val="20"/>
          <w:szCs w:val="20"/>
        </w:rPr>
      </w:pPr>
      <w:r w:rsidRPr="00B9457C">
        <w:rPr>
          <w:rFonts w:cs="Times New Roman"/>
          <w:sz w:val="20"/>
          <w:szCs w:val="20"/>
        </w:rPr>
        <w:t xml:space="preserve">6. </w:t>
      </w:r>
      <w:r w:rsidRPr="00B9457C">
        <w:rPr>
          <w:rFonts w:cs="Times New Roman"/>
          <w:sz w:val="20"/>
          <w:szCs w:val="20"/>
          <w:u w:val="single"/>
        </w:rPr>
        <w:t>Social Responsibility</w:t>
      </w:r>
      <w:r w:rsidRPr="00B9457C">
        <w:rPr>
          <w:rFonts w:cs="Times New Roman"/>
          <w:sz w:val="20"/>
          <w:szCs w:val="20"/>
        </w:rPr>
        <w:t>: Students will demonstrate a commitment to service, reconciliation, and justice, and lead effectively and ethically within the complexities of an increasingly diverse and interdependent world</w:t>
      </w:r>
    </w:p>
    <w:p w14:paraId="4734A9EB" w14:textId="77777777" w:rsidR="00B9457C" w:rsidRPr="00436324" w:rsidRDefault="00B9457C">
      <w:pPr>
        <w:rPr>
          <w:rFonts w:cs="Times New Roman"/>
          <w:sz w:val="20"/>
          <w:szCs w:val="20"/>
        </w:rPr>
      </w:pPr>
    </w:p>
    <w:sectPr w:rsidR="00B9457C" w:rsidRPr="00436324" w:rsidSect="00CA4F00">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92F4D"/>
    <w:multiLevelType w:val="hybridMultilevel"/>
    <w:tmpl w:val="D114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629CE"/>
    <w:multiLevelType w:val="hybridMultilevel"/>
    <w:tmpl w:val="E0720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4A5158"/>
    <w:multiLevelType w:val="hybridMultilevel"/>
    <w:tmpl w:val="F6827F98"/>
    <w:lvl w:ilvl="0" w:tplc="7DF6BF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00"/>
    <w:rsid w:val="00006F16"/>
    <w:rsid w:val="000A2E98"/>
    <w:rsid w:val="000A45E2"/>
    <w:rsid w:val="000C0699"/>
    <w:rsid w:val="001076CB"/>
    <w:rsid w:val="001648FD"/>
    <w:rsid w:val="00181975"/>
    <w:rsid w:val="001C4EE2"/>
    <w:rsid w:val="00313044"/>
    <w:rsid w:val="003222B2"/>
    <w:rsid w:val="003B7F79"/>
    <w:rsid w:val="00416E22"/>
    <w:rsid w:val="00436324"/>
    <w:rsid w:val="00496CFF"/>
    <w:rsid w:val="004A2594"/>
    <w:rsid w:val="004A515A"/>
    <w:rsid w:val="00590271"/>
    <w:rsid w:val="005C6170"/>
    <w:rsid w:val="0062728A"/>
    <w:rsid w:val="00640C32"/>
    <w:rsid w:val="006A078C"/>
    <w:rsid w:val="00704264"/>
    <w:rsid w:val="008877AE"/>
    <w:rsid w:val="008B28A4"/>
    <w:rsid w:val="008B7248"/>
    <w:rsid w:val="008C3091"/>
    <w:rsid w:val="008C585E"/>
    <w:rsid w:val="00914D96"/>
    <w:rsid w:val="009464D9"/>
    <w:rsid w:val="009F5490"/>
    <w:rsid w:val="00A00146"/>
    <w:rsid w:val="00A54AB1"/>
    <w:rsid w:val="00A96FE8"/>
    <w:rsid w:val="00AE4E13"/>
    <w:rsid w:val="00B3447D"/>
    <w:rsid w:val="00B71460"/>
    <w:rsid w:val="00B9457C"/>
    <w:rsid w:val="00B9639A"/>
    <w:rsid w:val="00BC180A"/>
    <w:rsid w:val="00BC7BA7"/>
    <w:rsid w:val="00BD63B1"/>
    <w:rsid w:val="00BE31A4"/>
    <w:rsid w:val="00BF3DAF"/>
    <w:rsid w:val="00C2721B"/>
    <w:rsid w:val="00C678A1"/>
    <w:rsid w:val="00CA4F00"/>
    <w:rsid w:val="00CC545E"/>
    <w:rsid w:val="00CF444A"/>
    <w:rsid w:val="00D4684F"/>
    <w:rsid w:val="00DE51F8"/>
    <w:rsid w:val="00DE6D8A"/>
    <w:rsid w:val="00E55860"/>
    <w:rsid w:val="00F03BE5"/>
    <w:rsid w:val="00F43CBC"/>
    <w:rsid w:val="00F441FA"/>
    <w:rsid w:val="00F7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D3D5"/>
  <w15:docId w15:val="{332DE041-D331-480E-BC06-CC41114A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51F8"/>
    <w:rPr>
      <w:sz w:val="16"/>
      <w:szCs w:val="16"/>
    </w:rPr>
  </w:style>
  <w:style w:type="paragraph" w:styleId="CommentText">
    <w:name w:val="annotation text"/>
    <w:basedOn w:val="Normal"/>
    <w:link w:val="CommentTextChar"/>
    <w:uiPriority w:val="99"/>
    <w:semiHidden/>
    <w:unhideWhenUsed/>
    <w:rsid w:val="00DE51F8"/>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DE51F8"/>
    <w:rPr>
      <w:rFonts w:ascii="Calibri" w:eastAsia="Times New Roman" w:hAnsi="Calibri" w:cs="Times New Roman"/>
      <w:sz w:val="20"/>
      <w:szCs w:val="20"/>
    </w:rPr>
  </w:style>
  <w:style w:type="paragraph" w:customStyle="1" w:styleId="Default">
    <w:name w:val="Default"/>
    <w:rsid w:val="00DE51F8"/>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sid w:val="00DE51F8"/>
    <w:rPr>
      <w:rFonts w:ascii="Tahoma" w:hAnsi="Tahoma" w:cs="Tahoma"/>
      <w:sz w:val="16"/>
      <w:szCs w:val="16"/>
    </w:rPr>
  </w:style>
  <w:style w:type="character" w:customStyle="1" w:styleId="BalloonTextChar">
    <w:name w:val="Balloon Text Char"/>
    <w:basedOn w:val="DefaultParagraphFont"/>
    <w:link w:val="BalloonText"/>
    <w:uiPriority w:val="99"/>
    <w:semiHidden/>
    <w:rsid w:val="00DE5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5165">
      <w:bodyDiv w:val="1"/>
      <w:marLeft w:val="0"/>
      <w:marRight w:val="0"/>
      <w:marTop w:val="0"/>
      <w:marBottom w:val="0"/>
      <w:divBdr>
        <w:top w:val="none" w:sz="0" w:space="0" w:color="auto"/>
        <w:left w:val="none" w:sz="0" w:space="0" w:color="auto"/>
        <w:bottom w:val="none" w:sz="0" w:space="0" w:color="auto"/>
        <w:right w:val="none" w:sz="0" w:space="0" w:color="auto"/>
      </w:divBdr>
    </w:div>
    <w:div w:id="171456222">
      <w:bodyDiv w:val="1"/>
      <w:marLeft w:val="0"/>
      <w:marRight w:val="0"/>
      <w:marTop w:val="0"/>
      <w:marBottom w:val="0"/>
      <w:divBdr>
        <w:top w:val="none" w:sz="0" w:space="0" w:color="auto"/>
        <w:left w:val="none" w:sz="0" w:space="0" w:color="auto"/>
        <w:bottom w:val="none" w:sz="0" w:space="0" w:color="auto"/>
        <w:right w:val="none" w:sz="0" w:space="0" w:color="auto"/>
      </w:divBdr>
    </w:div>
    <w:div w:id="443813702">
      <w:bodyDiv w:val="1"/>
      <w:marLeft w:val="0"/>
      <w:marRight w:val="0"/>
      <w:marTop w:val="0"/>
      <w:marBottom w:val="0"/>
      <w:divBdr>
        <w:top w:val="none" w:sz="0" w:space="0" w:color="auto"/>
        <w:left w:val="none" w:sz="0" w:space="0" w:color="auto"/>
        <w:bottom w:val="none" w:sz="0" w:space="0" w:color="auto"/>
        <w:right w:val="none" w:sz="0" w:space="0" w:color="auto"/>
      </w:divBdr>
    </w:div>
    <w:div w:id="923413025">
      <w:bodyDiv w:val="1"/>
      <w:marLeft w:val="0"/>
      <w:marRight w:val="0"/>
      <w:marTop w:val="0"/>
      <w:marBottom w:val="0"/>
      <w:divBdr>
        <w:top w:val="none" w:sz="0" w:space="0" w:color="auto"/>
        <w:left w:val="none" w:sz="0" w:space="0" w:color="auto"/>
        <w:bottom w:val="none" w:sz="0" w:space="0" w:color="auto"/>
        <w:right w:val="none" w:sz="0" w:space="0" w:color="auto"/>
      </w:divBdr>
    </w:div>
    <w:div w:id="204539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12379-6F0B-425A-BE4D-7BDD0621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Simcox, Kate</cp:lastModifiedBy>
  <cp:revision>2</cp:revision>
  <dcterms:created xsi:type="dcterms:W3CDTF">2018-01-31T19:40:00Z</dcterms:created>
  <dcterms:modified xsi:type="dcterms:W3CDTF">2018-01-31T19:40:00Z</dcterms:modified>
</cp:coreProperties>
</file>