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445A" w14:textId="4FBC490D" w:rsidR="00CA4F00" w:rsidRPr="000C0699" w:rsidRDefault="008C3091" w:rsidP="00CA4F00">
      <w:pPr>
        <w:rPr>
          <w:b/>
        </w:rPr>
      </w:pPr>
      <w:r>
        <w:t>Department name:</w:t>
      </w:r>
      <w:r w:rsidR="00181975">
        <w:t xml:space="preserve"> </w:t>
      </w:r>
      <w:r w:rsidR="00B9457C">
        <w:t>COMM</w:t>
      </w:r>
      <w:r w:rsidR="00B9639A">
        <w:tab/>
      </w:r>
      <w:r w:rsidR="00B9639A">
        <w:tab/>
      </w:r>
      <w:r w:rsidR="00CA4F00">
        <w:t xml:space="preserve"> </w:t>
      </w:r>
      <w:r w:rsidR="00496CFF">
        <w:t>Major:</w:t>
      </w:r>
      <w:r w:rsidR="00181975">
        <w:t xml:space="preserve"> </w:t>
      </w:r>
    </w:p>
    <w:tbl>
      <w:tblPr>
        <w:tblStyle w:val="TableGrid"/>
        <w:tblW w:w="15750" w:type="dxa"/>
        <w:tblInd w:w="-792" w:type="dxa"/>
        <w:tblLayout w:type="fixed"/>
        <w:tblLook w:val="04A0" w:firstRow="1" w:lastRow="0" w:firstColumn="1" w:lastColumn="0" w:noHBand="0" w:noVBand="1"/>
      </w:tblPr>
      <w:tblGrid>
        <w:gridCol w:w="2970"/>
        <w:gridCol w:w="4590"/>
        <w:gridCol w:w="3330"/>
        <w:gridCol w:w="1440"/>
        <w:gridCol w:w="1350"/>
        <w:gridCol w:w="2070"/>
      </w:tblGrid>
      <w:tr w:rsidR="00B9457C" w14:paraId="7F96C7CB" w14:textId="77777777" w:rsidTr="00B9457C">
        <w:trPr>
          <w:tblHeader/>
        </w:trPr>
        <w:tc>
          <w:tcPr>
            <w:tcW w:w="2970" w:type="dxa"/>
          </w:tcPr>
          <w:p w14:paraId="3C881B18" w14:textId="3C79C02F" w:rsidR="00B9457C" w:rsidRPr="009F5490" w:rsidRDefault="00B9457C" w:rsidP="004A2594">
            <w:pPr>
              <w:rPr>
                <w:rFonts w:ascii="Arial Narrow" w:hAnsi="Arial Narrow"/>
                <w:b/>
                <w:sz w:val="20"/>
                <w:szCs w:val="20"/>
              </w:rPr>
            </w:pPr>
            <w:r>
              <w:rPr>
                <w:rFonts w:ascii="Arial Narrow" w:hAnsi="Arial Narrow"/>
                <w:b/>
                <w:sz w:val="18"/>
                <w:szCs w:val="18"/>
              </w:rPr>
              <w:lastRenderedPageBreak/>
              <w:t xml:space="preserve"> CWEO Category </w:t>
            </w:r>
          </w:p>
        </w:tc>
        <w:tc>
          <w:tcPr>
            <w:tcW w:w="4590" w:type="dxa"/>
          </w:tcPr>
          <w:p w14:paraId="40DCB516" w14:textId="77777777" w:rsidR="00B9457C" w:rsidRPr="000A2E98" w:rsidRDefault="00B9457C" w:rsidP="009F5490">
            <w:pPr>
              <w:rPr>
                <w:rFonts w:ascii="Arial Narrow" w:hAnsi="Arial Narrow"/>
                <w:b/>
                <w:sz w:val="20"/>
                <w:szCs w:val="20"/>
              </w:rPr>
            </w:pPr>
            <w:r w:rsidRPr="000A2E98">
              <w:rPr>
                <w:rFonts w:ascii="Arial Narrow" w:hAnsi="Arial Narrow"/>
                <w:b/>
                <w:sz w:val="20"/>
                <w:szCs w:val="20"/>
              </w:rPr>
              <w:t>Objectives</w:t>
            </w:r>
          </w:p>
        </w:tc>
        <w:tc>
          <w:tcPr>
            <w:tcW w:w="3330" w:type="dxa"/>
          </w:tcPr>
          <w:p w14:paraId="6E1BF417" w14:textId="77777777" w:rsidR="00B9457C" w:rsidRPr="00A04E46" w:rsidRDefault="00B9457C" w:rsidP="009F5490">
            <w:pPr>
              <w:rPr>
                <w:rFonts w:ascii="Arial Narrow" w:hAnsi="Arial Narrow"/>
                <w:b/>
                <w:sz w:val="20"/>
                <w:szCs w:val="20"/>
              </w:rPr>
            </w:pPr>
            <w:r w:rsidRPr="009F5490">
              <w:rPr>
                <w:rFonts w:ascii="Arial Narrow" w:hAnsi="Arial Narrow"/>
                <w:sz w:val="20"/>
                <w:szCs w:val="20"/>
              </w:rPr>
              <w:t>Courses in</w:t>
            </w:r>
            <w:r>
              <w:rPr>
                <w:rFonts w:ascii="Arial Narrow" w:hAnsi="Arial Narrow"/>
                <w:sz w:val="20"/>
                <w:szCs w:val="20"/>
              </w:rPr>
              <w:t xml:space="preserve"> </w:t>
            </w:r>
            <w:r w:rsidRPr="009F5490">
              <w:rPr>
                <w:rFonts w:ascii="Arial Narrow" w:hAnsi="Arial Narrow"/>
                <w:sz w:val="20"/>
                <w:szCs w:val="20"/>
              </w:rPr>
              <w:t>which students</w:t>
            </w:r>
            <w:r w:rsidRPr="00B3447D">
              <w:rPr>
                <w:rFonts w:ascii="Arial Narrow" w:hAnsi="Arial Narrow"/>
                <w:b/>
                <w:sz w:val="20"/>
                <w:szCs w:val="20"/>
              </w:rPr>
              <w:t xml:space="preserve"> receive feedback</w:t>
            </w:r>
            <w:r>
              <w:rPr>
                <w:rFonts w:ascii="Arial Narrow" w:hAnsi="Arial Narrow"/>
                <w:sz w:val="20"/>
                <w:szCs w:val="20"/>
              </w:rPr>
              <w:t xml:space="preserve"> on this objective.</w:t>
            </w:r>
          </w:p>
        </w:tc>
        <w:tc>
          <w:tcPr>
            <w:tcW w:w="1440" w:type="dxa"/>
          </w:tcPr>
          <w:p w14:paraId="41701429" w14:textId="77777777" w:rsidR="00B9457C" w:rsidRPr="00A04E46" w:rsidRDefault="00B9457C" w:rsidP="009F5490">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r w:rsidRPr="00A04E46">
              <w:rPr>
                <w:rFonts w:ascii="Arial Narrow" w:hAnsi="Arial Narrow"/>
                <w:sz w:val="20"/>
                <w:szCs w:val="20"/>
              </w:rPr>
              <w:t>Method to gauge achievement</w:t>
            </w:r>
            <w:r>
              <w:rPr>
                <w:rFonts w:ascii="Arial Narrow" w:hAnsi="Arial Narrow"/>
                <w:sz w:val="20"/>
                <w:szCs w:val="20"/>
              </w:rPr>
              <w:t>)</w:t>
            </w:r>
          </w:p>
        </w:tc>
        <w:tc>
          <w:tcPr>
            <w:tcW w:w="1350" w:type="dxa"/>
          </w:tcPr>
          <w:p w14:paraId="03C241D7" w14:textId="77777777" w:rsidR="00B9457C" w:rsidRPr="00A04E46" w:rsidRDefault="00B9457C" w:rsidP="009F5490">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r w:rsidRPr="00CA51B4">
              <w:rPr>
                <w:rFonts w:ascii="Arial Narrow" w:hAnsi="Arial Narrow"/>
                <w:sz w:val="20"/>
                <w:szCs w:val="20"/>
              </w:rPr>
              <w:t>Overall level for satisfactory performance</w:t>
            </w:r>
            <w:r>
              <w:rPr>
                <w:rFonts w:ascii="Arial Narrow" w:hAnsi="Arial Narrow"/>
                <w:sz w:val="20"/>
                <w:szCs w:val="20"/>
              </w:rPr>
              <w:t>.)</w:t>
            </w:r>
          </w:p>
        </w:tc>
        <w:tc>
          <w:tcPr>
            <w:tcW w:w="2070" w:type="dxa"/>
          </w:tcPr>
          <w:p w14:paraId="4E647985" w14:textId="77777777" w:rsidR="00B9457C" w:rsidRPr="00933353" w:rsidRDefault="00B9457C" w:rsidP="009F5490">
            <w:pPr>
              <w:rPr>
                <w:rFonts w:ascii="Arial Narrow" w:hAnsi="Arial Narrow"/>
                <w:sz w:val="20"/>
                <w:szCs w:val="20"/>
              </w:rPr>
            </w:pPr>
            <w:r>
              <w:rPr>
                <w:rFonts w:ascii="Arial Narrow" w:hAnsi="Arial Narrow"/>
                <w:b/>
                <w:sz w:val="20"/>
                <w:szCs w:val="20"/>
              </w:rPr>
              <w:t xml:space="preserve">Timeline </w:t>
            </w:r>
            <w:r w:rsidRPr="009C190F">
              <w:rPr>
                <w:rFonts w:ascii="Arial Narrow" w:hAnsi="Arial Narrow"/>
                <w:sz w:val="20"/>
                <w:szCs w:val="20"/>
              </w:rPr>
              <w:t>(</w:t>
            </w:r>
            <w:r>
              <w:rPr>
                <w:rFonts w:ascii="Arial Narrow" w:hAnsi="Arial Narrow"/>
                <w:sz w:val="20"/>
                <w:szCs w:val="20"/>
              </w:rPr>
              <w:t>When &amp; how often is data collected?)</w:t>
            </w:r>
          </w:p>
        </w:tc>
      </w:tr>
      <w:tr w:rsidR="00B9457C" w14:paraId="30C915B5" w14:textId="77777777" w:rsidTr="00B9457C">
        <w:trPr>
          <w:tblHeader/>
        </w:trPr>
        <w:tc>
          <w:tcPr>
            <w:tcW w:w="2970" w:type="dxa"/>
          </w:tcPr>
          <w:p w14:paraId="3E383D67" w14:textId="77777777" w:rsidR="00B9457C" w:rsidRDefault="00B9457C" w:rsidP="004A2594">
            <w:pPr>
              <w:rPr>
                <w:rFonts w:ascii="Arial Narrow" w:hAnsi="Arial Narrow"/>
                <w:b/>
                <w:sz w:val="18"/>
                <w:szCs w:val="18"/>
              </w:rPr>
            </w:pPr>
          </w:p>
          <w:p w14:paraId="2EDF6A12" w14:textId="1F6EB8DB" w:rsidR="00B9457C" w:rsidRDefault="00CC545E" w:rsidP="004A2594">
            <w:pPr>
              <w:rPr>
                <w:rFonts w:ascii="Arial Narrow" w:hAnsi="Arial Narrow"/>
                <w:b/>
                <w:sz w:val="18"/>
                <w:szCs w:val="18"/>
              </w:rPr>
            </w:pPr>
            <w:r>
              <w:rPr>
                <w:rFonts w:ascii="Arial Narrow" w:hAnsi="Arial Narrow"/>
                <w:b/>
                <w:sz w:val="18"/>
                <w:szCs w:val="18"/>
              </w:rPr>
              <w:t xml:space="preserve">ULO 4: Applied Skills &amp; Scholarship: </w:t>
            </w:r>
            <w:r w:rsidRPr="00CC545E">
              <w:rPr>
                <w:rFonts w:asciiTheme="minorHAnsi" w:hAnsiTheme="minorHAnsi"/>
                <w:sz w:val="20"/>
              </w:rPr>
              <w:t>Students will become proficient in the scholarship of their discipline and demonstrate specialized skills needed to pursue a career and/or graduate school.</w:t>
            </w:r>
          </w:p>
        </w:tc>
        <w:tc>
          <w:tcPr>
            <w:tcW w:w="4590" w:type="dxa"/>
          </w:tcPr>
          <w:p w14:paraId="4E3CBB6F" w14:textId="14A4C6D1" w:rsidR="001076CB" w:rsidRPr="00AD1BB3" w:rsidRDefault="001076CB" w:rsidP="001076CB">
            <w:pPr>
              <w:numPr>
                <w:ilvl w:val="0"/>
                <w:numId w:val="2"/>
              </w:numPr>
              <w:rPr>
                <w:rFonts w:cs="Times New Roman"/>
                <w:sz w:val="18"/>
                <w:szCs w:val="18"/>
                <w:highlight w:val="yellow"/>
              </w:rPr>
            </w:pPr>
            <w:r>
              <w:rPr>
                <w:rFonts w:cs="Times New Roman"/>
                <w:sz w:val="18"/>
                <w:szCs w:val="18"/>
                <w:highlight w:val="yellow"/>
              </w:rPr>
              <w:t>O1</w:t>
            </w:r>
            <w:r w:rsidRPr="00AD1BB3">
              <w:rPr>
                <w:rFonts w:cs="Times New Roman"/>
                <w:sz w:val="18"/>
                <w:szCs w:val="18"/>
                <w:highlight w:val="yellow"/>
              </w:rPr>
              <w:t xml:space="preserve">: Public relations students will demonstrate the ability to effectively analyze, compare, and evaluate models of public relations practice used in an organization and make effective recommendations for improvement.  </w:t>
            </w:r>
          </w:p>
          <w:p w14:paraId="10279417" w14:textId="77777777" w:rsidR="00B9457C" w:rsidRPr="000A2E98" w:rsidRDefault="00B9457C" w:rsidP="001076CB">
            <w:pPr>
              <w:ind w:left="360"/>
              <w:rPr>
                <w:rFonts w:ascii="Arial Narrow" w:hAnsi="Arial Narrow"/>
                <w:b/>
                <w:sz w:val="20"/>
                <w:szCs w:val="20"/>
              </w:rPr>
            </w:pPr>
          </w:p>
        </w:tc>
        <w:tc>
          <w:tcPr>
            <w:tcW w:w="3330" w:type="dxa"/>
          </w:tcPr>
          <w:p w14:paraId="5968F1C6" w14:textId="48EF7E21" w:rsidR="00B9457C" w:rsidRPr="009F5490" w:rsidRDefault="00371046" w:rsidP="009F5490">
            <w:pPr>
              <w:rPr>
                <w:rFonts w:ascii="Arial Narrow" w:hAnsi="Arial Narrow"/>
                <w:sz w:val="20"/>
                <w:szCs w:val="20"/>
              </w:rPr>
            </w:pPr>
            <w:r>
              <w:rPr>
                <w:rFonts w:ascii="Arial Narrow" w:hAnsi="Arial Narrow"/>
                <w:sz w:val="20"/>
                <w:szCs w:val="20"/>
              </w:rPr>
              <w:t>COMM 205 Principles of Public Relations</w:t>
            </w:r>
          </w:p>
        </w:tc>
        <w:tc>
          <w:tcPr>
            <w:tcW w:w="1440" w:type="dxa"/>
          </w:tcPr>
          <w:p w14:paraId="2A101458" w14:textId="50E5050F" w:rsidR="00B9457C" w:rsidRPr="00A04E46" w:rsidRDefault="001076CB" w:rsidP="009F5490">
            <w:pPr>
              <w:rPr>
                <w:rFonts w:ascii="Arial Narrow" w:hAnsi="Arial Narrow"/>
                <w:b/>
                <w:sz w:val="20"/>
                <w:szCs w:val="20"/>
              </w:rPr>
            </w:pPr>
            <w:r>
              <w:rPr>
                <w:rFonts w:cs="Times New Roman"/>
                <w:sz w:val="18"/>
                <w:szCs w:val="18"/>
              </w:rPr>
              <w:t xml:space="preserve">COMM 493 </w:t>
            </w:r>
            <w:r>
              <w:rPr>
                <w:rFonts w:ascii="Arial Narrow" w:hAnsi="Arial Narrow"/>
                <w:b/>
                <w:sz w:val="20"/>
                <w:szCs w:val="20"/>
              </w:rPr>
              <w:t>Senior Seminar Final Portfolio</w:t>
            </w:r>
          </w:p>
        </w:tc>
        <w:tc>
          <w:tcPr>
            <w:tcW w:w="1350" w:type="dxa"/>
          </w:tcPr>
          <w:p w14:paraId="45E93E86" w14:textId="4D58DFC3" w:rsidR="00B9457C" w:rsidRPr="001076CB" w:rsidRDefault="001076CB" w:rsidP="009F5490">
            <w:pPr>
              <w:rPr>
                <w:rFonts w:cs="Times New Roman"/>
                <w:sz w:val="18"/>
                <w:szCs w:val="18"/>
              </w:rPr>
            </w:pPr>
            <w:r w:rsidRPr="007438CF">
              <w:rPr>
                <w:rFonts w:cs="Times New Roman"/>
                <w:sz w:val="18"/>
                <w:szCs w:val="18"/>
              </w:rPr>
              <w:t xml:space="preserve">80% of student portfolio work sample sections will earn </w:t>
            </w:r>
            <w:r>
              <w:rPr>
                <w:rFonts w:cs="Times New Roman"/>
                <w:sz w:val="18"/>
                <w:szCs w:val="18"/>
              </w:rPr>
              <w:t>a score of at least 3 out of 4 on the rubric</w:t>
            </w:r>
          </w:p>
        </w:tc>
        <w:tc>
          <w:tcPr>
            <w:tcW w:w="2070" w:type="dxa"/>
          </w:tcPr>
          <w:p w14:paraId="20106A41" w14:textId="77777777" w:rsidR="00B9457C" w:rsidRDefault="00B9457C" w:rsidP="009F5490">
            <w:pPr>
              <w:rPr>
                <w:rFonts w:ascii="Arial Narrow" w:hAnsi="Arial Narrow"/>
                <w:b/>
                <w:sz w:val="20"/>
                <w:szCs w:val="20"/>
              </w:rPr>
            </w:pPr>
          </w:p>
        </w:tc>
      </w:tr>
      <w:tr w:rsidR="00B9457C" w14:paraId="4A89C0C2" w14:textId="77777777" w:rsidTr="00B9457C">
        <w:trPr>
          <w:tblHeader/>
        </w:trPr>
        <w:tc>
          <w:tcPr>
            <w:tcW w:w="2970" w:type="dxa"/>
          </w:tcPr>
          <w:p w14:paraId="0E986EE3" w14:textId="77777777" w:rsidR="00B9457C" w:rsidRDefault="00B9457C" w:rsidP="004A2594">
            <w:pPr>
              <w:rPr>
                <w:rFonts w:ascii="Arial Narrow" w:hAnsi="Arial Narrow"/>
                <w:b/>
                <w:sz w:val="18"/>
                <w:szCs w:val="18"/>
              </w:rPr>
            </w:pPr>
          </w:p>
          <w:p w14:paraId="6D2CC4A2" w14:textId="77777777" w:rsidR="00B9457C" w:rsidRDefault="00B9457C" w:rsidP="004A2594">
            <w:pPr>
              <w:rPr>
                <w:rFonts w:ascii="Arial Narrow" w:hAnsi="Arial Narrow"/>
                <w:b/>
                <w:sz w:val="18"/>
                <w:szCs w:val="18"/>
              </w:rPr>
            </w:pPr>
          </w:p>
        </w:tc>
        <w:tc>
          <w:tcPr>
            <w:tcW w:w="4590" w:type="dxa"/>
          </w:tcPr>
          <w:p w14:paraId="46BC57A4" w14:textId="225265EE" w:rsidR="004C7628" w:rsidRDefault="001076CB" w:rsidP="001076CB">
            <w:pPr>
              <w:numPr>
                <w:ilvl w:val="0"/>
                <w:numId w:val="2"/>
              </w:numPr>
              <w:rPr>
                <w:rFonts w:cs="Times New Roman"/>
                <w:sz w:val="18"/>
                <w:szCs w:val="18"/>
                <w:highlight w:val="yellow"/>
              </w:rPr>
            </w:pPr>
            <w:r>
              <w:rPr>
                <w:rFonts w:cs="Times New Roman"/>
                <w:sz w:val="18"/>
                <w:szCs w:val="18"/>
                <w:highlight w:val="yellow"/>
              </w:rPr>
              <w:t>O2</w:t>
            </w:r>
            <w:r w:rsidR="004C7628">
              <w:rPr>
                <w:rFonts w:cs="Times New Roman"/>
                <w:sz w:val="18"/>
                <w:szCs w:val="18"/>
                <w:highlight w:val="yellow"/>
              </w:rPr>
              <w:t xml:space="preserve"> (A)</w:t>
            </w:r>
            <w:r w:rsidRPr="00AD1BB3">
              <w:rPr>
                <w:rFonts w:cs="Times New Roman"/>
                <w:sz w:val="18"/>
                <w:szCs w:val="18"/>
                <w:highlight w:val="yellow"/>
              </w:rPr>
              <w:t>: Public re</w:t>
            </w:r>
            <w:r w:rsidR="004C7628">
              <w:rPr>
                <w:rFonts w:cs="Times New Roman"/>
                <w:sz w:val="18"/>
                <w:szCs w:val="18"/>
                <w:highlight w:val="yellow"/>
              </w:rPr>
              <w:t>lations students will develop proficient to advanced competencies in four</w:t>
            </w:r>
            <w:r w:rsidRPr="00AD1BB3">
              <w:rPr>
                <w:rFonts w:cs="Times New Roman"/>
                <w:sz w:val="18"/>
                <w:szCs w:val="18"/>
                <w:highlight w:val="yellow"/>
              </w:rPr>
              <w:t xml:space="preserve"> public relations</w:t>
            </w:r>
            <w:r w:rsidR="004C7628">
              <w:rPr>
                <w:rFonts w:cs="Times New Roman"/>
                <w:sz w:val="18"/>
                <w:szCs w:val="18"/>
                <w:highlight w:val="yellow"/>
              </w:rPr>
              <w:t>-related</w:t>
            </w:r>
            <w:r w:rsidRPr="00AD1BB3">
              <w:rPr>
                <w:rFonts w:cs="Times New Roman"/>
                <w:sz w:val="18"/>
                <w:szCs w:val="18"/>
                <w:highlight w:val="yellow"/>
              </w:rPr>
              <w:t xml:space="preserve"> </w:t>
            </w:r>
            <w:r w:rsidR="004C7628">
              <w:rPr>
                <w:rFonts w:cs="Times New Roman"/>
                <w:sz w:val="18"/>
                <w:szCs w:val="18"/>
                <w:highlight w:val="yellow"/>
              </w:rPr>
              <w:t>areas: writing, social media, and crisis communication, marketing.</w:t>
            </w:r>
          </w:p>
          <w:p w14:paraId="490EC2C7" w14:textId="35996633" w:rsidR="001076CB" w:rsidRPr="00AD1BB3" w:rsidRDefault="004C7628" w:rsidP="001076CB">
            <w:pPr>
              <w:numPr>
                <w:ilvl w:val="0"/>
                <w:numId w:val="2"/>
              </w:numPr>
              <w:rPr>
                <w:rFonts w:cs="Times New Roman"/>
                <w:sz w:val="18"/>
                <w:szCs w:val="18"/>
                <w:highlight w:val="yellow"/>
              </w:rPr>
            </w:pPr>
            <w:r>
              <w:rPr>
                <w:rFonts w:cs="Times New Roman"/>
                <w:sz w:val="18"/>
                <w:szCs w:val="18"/>
                <w:highlight w:val="yellow"/>
              </w:rPr>
              <w:t>O2(B): Public relations students will develop proficient to advanced competencies in at least three specialty areas, depending on their major elective choices:</w:t>
            </w:r>
            <w:r w:rsidR="001076CB" w:rsidRPr="00AD1BB3">
              <w:rPr>
                <w:rFonts w:cs="Times New Roman"/>
                <w:sz w:val="18"/>
                <w:szCs w:val="18"/>
                <w:highlight w:val="yellow"/>
              </w:rPr>
              <w:t xml:space="preserve"> (e.g. </w:t>
            </w:r>
            <w:r w:rsidR="00371046" w:rsidRPr="00AD1BB3">
              <w:rPr>
                <w:rFonts w:cs="Times New Roman"/>
                <w:sz w:val="18"/>
                <w:szCs w:val="18"/>
                <w:highlight w:val="yellow"/>
              </w:rPr>
              <w:t>fund raising,</w:t>
            </w:r>
            <w:r w:rsidR="00371046">
              <w:rPr>
                <w:rFonts w:cs="Times New Roman"/>
                <w:sz w:val="18"/>
                <w:szCs w:val="18"/>
                <w:highlight w:val="yellow"/>
              </w:rPr>
              <w:t xml:space="preserve"> internal communication, event planning, campaign processes (research, action planning, communication/implementation/evaluation)</w:t>
            </w:r>
            <w:r>
              <w:rPr>
                <w:rFonts w:cs="Times New Roman"/>
                <w:sz w:val="18"/>
                <w:szCs w:val="18"/>
                <w:highlight w:val="yellow"/>
              </w:rPr>
              <w:t>, visual communication, social and digital marketing, persuasion</w:t>
            </w:r>
            <w:r w:rsidR="00371046">
              <w:rPr>
                <w:rFonts w:cs="Times New Roman"/>
                <w:sz w:val="18"/>
                <w:szCs w:val="18"/>
                <w:highlight w:val="yellow"/>
              </w:rPr>
              <w:t>)</w:t>
            </w:r>
          </w:p>
          <w:p w14:paraId="7FAD4909" w14:textId="77777777" w:rsidR="00B9457C" w:rsidRPr="000A2E98" w:rsidRDefault="00B9457C" w:rsidP="001076CB">
            <w:pPr>
              <w:ind w:left="720"/>
              <w:rPr>
                <w:rFonts w:ascii="Arial Narrow" w:hAnsi="Arial Narrow"/>
                <w:b/>
                <w:sz w:val="20"/>
                <w:szCs w:val="20"/>
              </w:rPr>
            </w:pPr>
          </w:p>
        </w:tc>
        <w:tc>
          <w:tcPr>
            <w:tcW w:w="3330" w:type="dxa"/>
          </w:tcPr>
          <w:p w14:paraId="49AE0352" w14:textId="77777777" w:rsidR="00371046" w:rsidRDefault="00371046" w:rsidP="009F5490">
            <w:pPr>
              <w:rPr>
                <w:rFonts w:ascii="Arial Narrow" w:hAnsi="Arial Narrow"/>
                <w:sz w:val="20"/>
                <w:szCs w:val="20"/>
              </w:rPr>
            </w:pPr>
            <w:r>
              <w:rPr>
                <w:rFonts w:ascii="Arial Narrow" w:hAnsi="Arial Narrow"/>
                <w:sz w:val="20"/>
                <w:szCs w:val="20"/>
              </w:rPr>
              <w:t>COMM 205 Principles of Public Relations</w:t>
            </w:r>
          </w:p>
          <w:p w14:paraId="02E11F8A" w14:textId="756F4B70" w:rsidR="00B9457C" w:rsidRDefault="00371046" w:rsidP="009F5490">
            <w:pPr>
              <w:rPr>
                <w:rFonts w:ascii="Arial Narrow" w:hAnsi="Arial Narrow"/>
                <w:sz w:val="20"/>
                <w:szCs w:val="20"/>
              </w:rPr>
            </w:pPr>
            <w:r>
              <w:rPr>
                <w:rFonts w:ascii="Arial Narrow" w:hAnsi="Arial Narrow"/>
                <w:sz w:val="20"/>
                <w:szCs w:val="20"/>
              </w:rPr>
              <w:t>COMM 351 Public Relations Writing</w:t>
            </w:r>
          </w:p>
          <w:p w14:paraId="02CFB94F" w14:textId="04E85CB3" w:rsidR="004C7628" w:rsidRDefault="00371046" w:rsidP="009F5490">
            <w:pPr>
              <w:pBdr>
                <w:bottom w:val="single" w:sz="6" w:space="1" w:color="auto"/>
              </w:pBdr>
              <w:rPr>
                <w:rFonts w:ascii="Arial Narrow" w:hAnsi="Arial Narrow"/>
                <w:sz w:val="20"/>
                <w:szCs w:val="20"/>
              </w:rPr>
            </w:pPr>
            <w:r>
              <w:rPr>
                <w:rFonts w:ascii="Arial Narrow" w:hAnsi="Arial Narrow"/>
                <w:sz w:val="20"/>
                <w:szCs w:val="20"/>
              </w:rPr>
              <w:t xml:space="preserve">COMM 353 Media Relations/Crisis </w:t>
            </w:r>
            <w:r w:rsidR="004C7628">
              <w:rPr>
                <w:rFonts w:ascii="Arial Narrow" w:hAnsi="Arial Narrow"/>
                <w:sz w:val="20"/>
                <w:szCs w:val="20"/>
              </w:rPr>
              <w:t>Communication</w:t>
            </w:r>
          </w:p>
          <w:p w14:paraId="687BA0A7" w14:textId="6327B219" w:rsidR="00371046" w:rsidRDefault="004C7628" w:rsidP="009F5490">
            <w:pPr>
              <w:pBdr>
                <w:bottom w:val="single" w:sz="6" w:space="1" w:color="auto"/>
              </w:pBdr>
              <w:rPr>
                <w:rFonts w:ascii="Arial Narrow" w:hAnsi="Arial Narrow"/>
                <w:sz w:val="20"/>
                <w:szCs w:val="20"/>
              </w:rPr>
            </w:pPr>
            <w:r>
              <w:rPr>
                <w:rFonts w:ascii="Arial Narrow" w:hAnsi="Arial Narrow"/>
                <w:sz w:val="20"/>
                <w:szCs w:val="20"/>
              </w:rPr>
              <w:t xml:space="preserve">MRKT 130 Marketing Principles </w:t>
            </w:r>
          </w:p>
          <w:p w14:paraId="235FBD69" w14:textId="053BDD95" w:rsidR="00371046" w:rsidRDefault="00371046" w:rsidP="009F5490">
            <w:pPr>
              <w:rPr>
                <w:rFonts w:ascii="Arial Narrow" w:hAnsi="Arial Narrow"/>
                <w:sz w:val="20"/>
                <w:szCs w:val="20"/>
              </w:rPr>
            </w:pPr>
            <w:r>
              <w:rPr>
                <w:rFonts w:ascii="Arial Narrow" w:hAnsi="Arial Narrow"/>
                <w:sz w:val="20"/>
                <w:szCs w:val="20"/>
              </w:rPr>
              <w:t>The following courses are menu options in the required curriculum major electives, so students’ competencies and portfolios will vary according to elective choice.</w:t>
            </w:r>
          </w:p>
          <w:p w14:paraId="5F79BF1C" w14:textId="77777777" w:rsidR="004C7628" w:rsidRDefault="004C7628" w:rsidP="009F5490">
            <w:pPr>
              <w:rPr>
                <w:rFonts w:ascii="Arial Narrow" w:hAnsi="Arial Narrow"/>
                <w:sz w:val="20"/>
                <w:szCs w:val="20"/>
              </w:rPr>
            </w:pPr>
            <w:r>
              <w:rPr>
                <w:rFonts w:ascii="Arial Narrow" w:hAnsi="Arial Narrow"/>
                <w:sz w:val="20"/>
                <w:szCs w:val="20"/>
              </w:rPr>
              <w:t>COMM 203 Basic Video &amp; Editing</w:t>
            </w:r>
          </w:p>
          <w:p w14:paraId="00FDE4B4" w14:textId="77777777" w:rsidR="004C7628" w:rsidRDefault="004C7628" w:rsidP="009F5490">
            <w:pPr>
              <w:rPr>
                <w:rFonts w:ascii="Arial Narrow" w:hAnsi="Arial Narrow"/>
                <w:sz w:val="20"/>
                <w:szCs w:val="20"/>
              </w:rPr>
            </w:pPr>
            <w:r>
              <w:rPr>
                <w:rFonts w:ascii="Arial Narrow" w:hAnsi="Arial Narrow"/>
                <w:sz w:val="20"/>
                <w:szCs w:val="20"/>
              </w:rPr>
              <w:t>COMM 207 Communication Design</w:t>
            </w:r>
          </w:p>
          <w:p w14:paraId="18206E63" w14:textId="77777777" w:rsidR="004C7628" w:rsidRDefault="004C7628" w:rsidP="009F5490">
            <w:pPr>
              <w:rPr>
                <w:rFonts w:ascii="Arial Narrow" w:hAnsi="Arial Narrow"/>
                <w:sz w:val="20"/>
                <w:szCs w:val="20"/>
              </w:rPr>
            </w:pPr>
            <w:r>
              <w:rPr>
                <w:rFonts w:ascii="Arial Narrow" w:hAnsi="Arial Narrow"/>
                <w:sz w:val="20"/>
                <w:szCs w:val="20"/>
              </w:rPr>
              <w:t>COMM 301 Persuasion</w:t>
            </w:r>
          </w:p>
          <w:p w14:paraId="0855D739" w14:textId="40BC6FF9" w:rsidR="00371046" w:rsidRDefault="00371046" w:rsidP="009F5490">
            <w:pPr>
              <w:rPr>
                <w:rFonts w:ascii="Arial Narrow" w:hAnsi="Arial Narrow"/>
                <w:sz w:val="20"/>
                <w:szCs w:val="20"/>
              </w:rPr>
            </w:pPr>
            <w:r>
              <w:rPr>
                <w:rFonts w:ascii="Arial Narrow" w:hAnsi="Arial Narrow"/>
                <w:sz w:val="20"/>
                <w:szCs w:val="20"/>
              </w:rPr>
              <w:t>COMM 310 Fundraising</w:t>
            </w:r>
          </w:p>
          <w:p w14:paraId="5AE8DDCA" w14:textId="51ABFAC0" w:rsidR="00371046" w:rsidRDefault="00371046" w:rsidP="009F5490">
            <w:pPr>
              <w:rPr>
                <w:rFonts w:ascii="Arial Narrow" w:hAnsi="Arial Narrow"/>
                <w:sz w:val="20"/>
                <w:szCs w:val="20"/>
              </w:rPr>
            </w:pPr>
            <w:r>
              <w:rPr>
                <w:rFonts w:ascii="Arial Narrow" w:hAnsi="Arial Narrow"/>
                <w:sz w:val="20"/>
                <w:szCs w:val="20"/>
              </w:rPr>
              <w:t>COMM 333 Business &amp; Organizational Communication</w:t>
            </w:r>
          </w:p>
          <w:p w14:paraId="6D61237C" w14:textId="3ED48E7C" w:rsidR="00371046" w:rsidRDefault="00371046" w:rsidP="009F5490">
            <w:pPr>
              <w:rPr>
                <w:rFonts w:ascii="Arial Narrow" w:hAnsi="Arial Narrow"/>
                <w:sz w:val="20"/>
                <w:szCs w:val="20"/>
              </w:rPr>
            </w:pPr>
            <w:r>
              <w:rPr>
                <w:rFonts w:ascii="Arial Narrow" w:hAnsi="Arial Narrow"/>
                <w:sz w:val="20"/>
                <w:szCs w:val="20"/>
              </w:rPr>
              <w:t>COMM 357 Event Planning</w:t>
            </w:r>
          </w:p>
          <w:p w14:paraId="7B6B0DE0" w14:textId="0DC34DA4" w:rsidR="00371046" w:rsidRDefault="00371046" w:rsidP="009F5490">
            <w:pPr>
              <w:rPr>
                <w:rFonts w:ascii="Arial Narrow" w:hAnsi="Arial Narrow"/>
                <w:sz w:val="20"/>
                <w:szCs w:val="20"/>
              </w:rPr>
            </w:pPr>
            <w:r>
              <w:rPr>
                <w:rFonts w:ascii="Arial Narrow" w:hAnsi="Arial Narrow"/>
                <w:sz w:val="20"/>
                <w:szCs w:val="20"/>
              </w:rPr>
              <w:t>COMM 426 Public Relations Campaign</w:t>
            </w:r>
          </w:p>
          <w:p w14:paraId="155F8694" w14:textId="06BDF7CB" w:rsidR="00371046" w:rsidRDefault="004C7628" w:rsidP="009F5490">
            <w:pPr>
              <w:rPr>
                <w:rFonts w:ascii="Arial Narrow" w:hAnsi="Arial Narrow"/>
                <w:sz w:val="20"/>
                <w:szCs w:val="20"/>
              </w:rPr>
            </w:pPr>
            <w:r>
              <w:rPr>
                <w:rFonts w:ascii="Arial Narrow" w:hAnsi="Arial Narrow"/>
                <w:sz w:val="20"/>
                <w:szCs w:val="20"/>
              </w:rPr>
              <w:t>MRKT337 Integrated Marketing Communications</w:t>
            </w:r>
          </w:p>
          <w:p w14:paraId="1DB6CA69" w14:textId="02E3C264" w:rsidR="004C7628" w:rsidRDefault="004C7628" w:rsidP="009F5490">
            <w:pPr>
              <w:rPr>
                <w:rFonts w:ascii="Arial Narrow" w:hAnsi="Arial Narrow"/>
                <w:sz w:val="20"/>
                <w:szCs w:val="20"/>
              </w:rPr>
            </w:pPr>
            <w:r>
              <w:rPr>
                <w:rFonts w:ascii="Arial Narrow" w:hAnsi="Arial Narrow"/>
                <w:sz w:val="20"/>
                <w:szCs w:val="20"/>
              </w:rPr>
              <w:t>MRKT 362 Social Media Marketing</w:t>
            </w:r>
          </w:p>
          <w:p w14:paraId="35D7DB67" w14:textId="2EEDB072" w:rsidR="004C7628" w:rsidRPr="009F5490" w:rsidRDefault="004C7628" w:rsidP="009F5490">
            <w:pPr>
              <w:rPr>
                <w:rFonts w:ascii="Arial Narrow" w:hAnsi="Arial Narrow"/>
                <w:sz w:val="20"/>
                <w:szCs w:val="20"/>
              </w:rPr>
            </w:pPr>
            <w:r>
              <w:rPr>
                <w:rFonts w:ascii="Arial Narrow" w:hAnsi="Arial Narrow"/>
                <w:sz w:val="20"/>
                <w:szCs w:val="20"/>
              </w:rPr>
              <w:t>MRKT364 Digital Marketing</w:t>
            </w:r>
          </w:p>
        </w:tc>
        <w:tc>
          <w:tcPr>
            <w:tcW w:w="1440" w:type="dxa"/>
          </w:tcPr>
          <w:p w14:paraId="3508BF15" w14:textId="47DD3205" w:rsidR="00B9457C" w:rsidRPr="00A04E46" w:rsidRDefault="001076CB" w:rsidP="009F5490">
            <w:pPr>
              <w:rPr>
                <w:rFonts w:ascii="Arial Narrow" w:hAnsi="Arial Narrow"/>
                <w:b/>
                <w:sz w:val="20"/>
                <w:szCs w:val="20"/>
              </w:rPr>
            </w:pPr>
            <w:r>
              <w:rPr>
                <w:rFonts w:ascii="Arial Narrow" w:hAnsi="Arial Narrow"/>
                <w:b/>
                <w:sz w:val="20"/>
                <w:szCs w:val="20"/>
              </w:rPr>
              <w:t>Senior Seminar Final Portfolio</w:t>
            </w:r>
          </w:p>
        </w:tc>
        <w:tc>
          <w:tcPr>
            <w:tcW w:w="1350" w:type="dxa"/>
          </w:tcPr>
          <w:p w14:paraId="2B97591A" w14:textId="4CC9BDBC" w:rsidR="00B9457C" w:rsidRPr="00A04E46" w:rsidRDefault="001076CB" w:rsidP="009F5490">
            <w:pPr>
              <w:rPr>
                <w:rFonts w:ascii="Arial Narrow" w:hAnsi="Arial Narrow"/>
                <w:b/>
                <w:sz w:val="20"/>
                <w:szCs w:val="20"/>
              </w:rPr>
            </w:pPr>
            <w:r w:rsidRPr="007438CF">
              <w:rPr>
                <w:rFonts w:cs="Times New Roman"/>
                <w:sz w:val="18"/>
                <w:szCs w:val="18"/>
              </w:rPr>
              <w:t xml:space="preserve">80% of student portfolio work sample sections will earn </w:t>
            </w:r>
            <w:r>
              <w:rPr>
                <w:rFonts w:cs="Times New Roman"/>
                <w:sz w:val="18"/>
                <w:szCs w:val="18"/>
              </w:rPr>
              <w:t>a score of at least 3 out of 4 on the rubric</w:t>
            </w:r>
          </w:p>
        </w:tc>
        <w:tc>
          <w:tcPr>
            <w:tcW w:w="2070" w:type="dxa"/>
          </w:tcPr>
          <w:p w14:paraId="6842176E" w14:textId="77777777" w:rsidR="00B9457C" w:rsidRDefault="00B9457C" w:rsidP="009F5490">
            <w:pPr>
              <w:rPr>
                <w:rFonts w:ascii="Arial Narrow" w:hAnsi="Arial Narrow"/>
                <w:b/>
                <w:sz w:val="20"/>
                <w:szCs w:val="20"/>
              </w:rPr>
            </w:pPr>
          </w:p>
        </w:tc>
      </w:tr>
      <w:tr w:rsidR="00B9457C" w14:paraId="1985D48F" w14:textId="77777777" w:rsidTr="00B9457C">
        <w:trPr>
          <w:tblHeader/>
        </w:trPr>
        <w:tc>
          <w:tcPr>
            <w:tcW w:w="2970" w:type="dxa"/>
          </w:tcPr>
          <w:p w14:paraId="08E2C579" w14:textId="77777777" w:rsidR="00B9457C" w:rsidRDefault="00B9457C" w:rsidP="004A2594">
            <w:pPr>
              <w:rPr>
                <w:rFonts w:ascii="Arial Narrow" w:hAnsi="Arial Narrow"/>
                <w:b/>
                <w:sz w:val="18"/>
                <w:szCs w:val="18"/>
              </w:rPr>
            </w:pPr>
          </w:p>
          <w:p w14:paraId="0B65E01B" w14:textId="77777777" w:rsidR="00B9457C" w:rsidRDefault="00B9457C" w:rsidP="004A2594">
            <w:pPr>
              <w:rPr>
                <w:rFonts w:ascii="Arial Narrow" w:hAnsi="Arial Narrow"/>
                <w:b/>
                <w:sz w:val="18"/>
                <w:szCs w:val="18"/>
              </w:rPr>
            </w:pPr>
          </w:p>
        </w:tc>
        <w:tc>
          <w:tcPr>
            <w:tcW w:w="4590" w:type="dxa"/>
          </w:tcPr>
          <w:p w14:paraId="4A98381B" w14:textId="3C8DBFD4" w:rsidR="001076CB" w:rsidRPr="001076CB" w:rsidRDefault="001076CB" w:rsidP="001076CB">
            <w:pPr>
              <w:numPr>
                <w:ilvl w:val="0"/>
                <w:numId w:val="2"/>
              </w:numPr>
              <w:rPr>
                <w:rFonts w:cs="Times New Roman"/>
                <w:sz w:val="18"/>
                <w:szCs w:val="18"/>
                <w:highlight w:val="yellow"/>
              </w:rPr>
            </w:pPr>
            <w:r w:rsidRPr="001076CB">
              <w:rPr>
                <w:rFonts w:cs="Times New Roman"/>
                <w:sz w:val="18"/>
                <w:szCs w:val="18"/>
                <w:highlight w:val="yellow"/>
              </w:rPr>
              <w:t xml:space="preserve">O3: Public relations students will identify, interpret, evaluate, and apply best practices in public relations, media relations, and crisis communication (combining traditional and new media) for maintaining mutually beneficial relationships between organizations and publics both routinely and in times of crisis. </w:t>
            </w:r>
          </w:p>
          <w:p w14:paraId="393F7E86" w14:textId="77777777" w:rsidR="00B9457C" w:rsidRPr="000A2E98" w:rsidRDefault="00B9457C" w:rsidP="009F5490">
            <w:pPr>
              <w:rPr>
                <w:rFonts w:ascii="Arial Narrow" w:hAnsi="Arial Narrow"/>
                <w:b/>
                <w:sz w:val="20"/>
                <w:szCs w:val="20"/>
              </w:rPr>
            </w:pPr>
          </w:p>
        </w:tc>
        <w:tc>
          <w:tcPr>
            <w:tcW w:w="3330" w:type="dxa"/>
          </w:tcPr>
          <w:p w14:paraId="53E5AF7F" w14:textId="7305FF19" w:rsidR="00B9457C" w:rsidRPr="009F5490" w:rsidRDefault="00BF3352" w:rsidP="009F5490">
            <w:pPr>
              <w:rPr>
                <w:rFonts w:ascii="Arial Narrow" w:hAnsi="Arial Narrow"/>
                <w:sz w:val="20"/>
                <w:szCs w:val="20"/>
              </w:rPr>
            </w:pPr>
            <w:r>
              <w:rPr>
                <w:rFonts w:ascii="Arial Narrow" w:hAnsi="Arial Narrow"/>
                <w:sz w:val="20"/>
                <w:szCs w:val="20"/>
              </w:rPr>
              <w:t>COMM 353 Media Relations/Crisis Communication</w:t>
            </w:r>
          </w:p>
        </w:tc>
        <w:tc>
          <w:tcPr>
            <w:tcW w:w="1440" w:type="dxa"/>
          </w:tcPr>
          <w:p w14:paraId="2D8A8CA8" w14:textId="0BD4B69F" w:rsidR="00B9457C" w:rsidRPr="00A04E46" w:rsidRDefault="001076CB" w:rsidP="009F5490">
            <w:pPr>
              <w:rPr>
                <w:rFonts w:ascii="Arial Narrow" w:hAnsi="Arial Narrow"/>
                <w:b/>
                <w:sz w:val="20"/>
                <w:szCs w:val="20"/>
              </w:rPr>
            </w:pPr>
            <w:r>
              <w:rPr>
                <w:rFonts w:ascii="Arial Narrow" w:hAnsi="Arial Narrow"/>
                <w:b/>
                <w:sz w:val="20"/>
                <w:szCs w:val="20"/>
              </w:rPr>
              <w:t>Senior Seminar Final Portfolio</w:t>
            </w:r>
          </w:p>
        </w:tc>
        <w:tc>
          <w:tcPr>
            <w:tcW w:w="1350" w:type="dxa"/>
          </w:tcPr>
          <w:p w14:paraId="3742C3A0" w14:textId="7280B068" w:rsidR="00B9457C" w:rsidRPr="00A04E46" w:rsidRDefault="001076CB" w:rsidP="009F5490">
            <w:pPr>
              <w:rPr>
                <w:rFonts w:ascii="Arial Narrow" w:hAnsi="Arial Narrow"/>
                <w:b/>
                <w:sz w:val="20"/>
                <w:szCs w:val="20"/>
              </w:rPr>
            </w:pPr>
            <w:r w:rsidRPr="007438CF">
              <w:rPr>
                <w:rFonts w:cs="Times New Roman"/>
                <w:sz w:val="18"/>
                <w:szCs w:val="18"/>
              </w:rPr>
              <w:t xml:space="preserve">80% of student portfolio work sample sections will earn </w:t>
            </w:r>
            <w:r>
              <w:rPr>
                <w:rFonts w:cs="Times New Roman"/>
                <w:sz w:val="18"/>
                <w:szCs w:val="18"/>
              </w:rPr>
              <w:t>a score of at least 3 out of 4 on the rubric</w:t>
            </w:r>
          </w:p>
        </w:tc>
        <w:tc>
          <w:tcPr>
            <w:tcW w:w="2070" w:type="dxa"/>
          </w:tcPr>
          <w:p w14:paraId="1757AC9E" w14:textId="77777777" w:rsidR="00B9457C" w:rsidRDefault="00B9457C" w:rsidP="009F5490">
            <w:pPr>
              <w:rPr>
                <w:rFonts w:ascii="Arial Narrow" w:hAnsi="Arial Narrow"/>
                <w:b/>
                <w:sz w:val="20"/>
                <w:szCs w:val="20"/>
              </w:rPr>
            </w:pPr>
          </w:p>
        </w:tc>
      </w:tr>
      <w:tr w:rsidR="00B9457C" w14:paraId="0CB684C1" w14:textId="77777777" w:rsidTr="00B9457C">
        <w:trPr>
          <w:tblHeader/>
        </w:trPr>
        <w:tc>
          <w:tcPr>
            <w:tcW w:w="2970" w:type="dxa"/>
            <w:tcBorders>
              <w:bottom w:val="single" w:sz="4" w:space="0" w:color="auto"/>
            </w:tcBorders>
          </w:tcPr>
          <w:p w14:paraId="510F8C05" w14:textId="77777777" w:rsidR="00B9457C" w:rsidRDefault="00B9457C" w:rsidP="004A2594">
            <w:pPr>
              <w:rPr>
                <w:rFonts w:ascii="Arial Narrow" w:hAnsi="Arial Narrow"/>
                <w:b/>
                <w:sz w:val="18"/>
                <w:szCs w:val="18"/>
              </w:rPr>
            </w:pPr>
          </w:p>
          <w:p w14:paraId="55E47790" w14:textId="77777777" w:rsidR="00B9457C" w:rsidRDefault="00B9457C" w:rsidP="004A2594">
            <w:pPr>
              <w:rPr>
                <w:rFonts w:ascii="Arial Narrow" w:hAnsi="Arial Narrow"/>
                <w:b/>
                <w:sz w:val="18"/>
                <w:szCs w:val="18"/>
              </w:rPr>
            </w:pPr>
          </w:p>
        </w:tc>
        <w:tc>
          <w:tcPr>
            <w:tcW w:w="4590" w:type="dxa"/>
            <w:tcBorders>
              <w:bottom w:val="single" w:sz="4" w:space="0" w:color="auto"/>
            </w:tcBorders>
          </w:tcPr>
          <w:p w14:paraId="38CBA88E" w14:textId="197EAFE5" w:rsidR="00B9457C" w:rsidRPr="00BF3352" w:rsidRDefault="00BF3352" w:rsidP="00BF3352">
            <w:pPr>
              <w:pStyle w:val="ListParagraph"/>
              <w:numPr>
                <w:ilvl w:val="0"/>
                <w:numId w:val="2"/>
              </w:numPr>
              <w:rPr>
                <w:rFonts w:cs="Times New Roman"/>
                <w:sz w:val="18"/>
                <w:szCs w:val="18"/>
              </w:rPr>
            </w:pPr>
            <w:r w:rsidRPr="00BF3352">
              <w:rPr>
                <w:rFonts w:cs="Times New Roman"/>
                <w:sz w:val="18"/>
                <w:szCs w:val="18"/>
              </w:rPr>
              <w:t xml:space="preserve">O4: Public </w:t>
            </w:r>
            <w:r>
              <w:rPr>
                <w:rFonts w:cs="Times New Roman"/>
                <w:sz w:val="18"/>
                <w:szCs w:val="18"/>
              </w:rPr>
              <w:t>relations students will identify and demonstrate commitment to ethical practice of public relations.</w:t>
            </w:r>
            <w:bookmarkStart w:id="0" w:name="_GoBack"/>
            <w:bookmarkEnd w:id="0"/>
          </w:p>
        </w:tc>
        <w:tc>
          <w:tcPr>
            <w:tcW w:w="3330" w:type="dxa"/>
            <w:tcBorders>
              <w:bottom w:val="single" w:sz="4" w:space="0" w:color="auto"/>
            </w:tcBorders>
          </w:tcPr>
          <w:p w14:paraId="18D1DBE4" w14:textId="77777777" w:rsidR="00B9457C" w:rsidRDefault="00BF3352" w:rsidP="009F5490">
            <w:pPr>
              <w:rPr>
                <w:rFonts w:ascii="Arial Narrow" w:hAnsi="Arial Narrow"/>
                <w:sz w:val="20"/>
                <w:szCs w:val="20"/>
              </w:rPr>
            </w:pPr>
            <w:r>
              <w:rPr>
                <w:rFonts w:ascii="Arial Narrow" w:hAnsi="Arial Narrow"/>
                <w:sz w:val="20"/>
                <w:szCs w:val="20"/>
              </w:rPr>
              <w:t>COMM 205 Principles of Public Relations</w:t>
            </w:r>
          </w:p>
          <w:p w14:paraId="780E0FDF" w14:textId="741052E4" w:rsidR="00BF3352" w:rsidRPr="009F5490" w:rsidRDefault="00BF3352" w:rsidP="00BF3352">
            <w:pPr>
              <w:rPr>
                <w:rFonts w:ascii="Arial Narrow" w:hAnsi="Arial Narrow"/>
                <w:sz w:val="20"/>
                <w:szCs w:val="20"/>
              </w:rPr>
            </w:pPr>
            <w:r>
              <w:rPr>
                <w:rFonts w:ascii="Arial Narrow" w:hAnsi="Arial Narrow"/>
                <w:sz w:val="20"/>
                <w:szCs w:val="20"/>
              </w:rPr>
              <w:t>Students will receive feedback on their ethics plans developed in this course. However, for their portfolio, they may include the plan directly or may include a brief philosophical statement on their commitment to ethical practice of public relations.</w:t>
            </w:r>
          </w:p>
        </w:tc>
        <w:tc>
          <w:tcPr>
            <w:tcW w:w="1440" w:type="dxa"/>
            <w:tcBorders>
              <w:bottom w:val="single" w:sz="4" w:space="0" w:color="auto"/>
            </w:tcBorders>
          </w:tcPr>
          <w:p w14:paraId="4E83D85E" w14:textId="50320727" w:rsidR="00B9457C" w:rsidRPr="00A04E46" w:rsidRDefault="00BF3352" w:rsidP="009F5490">
            <w:pPr>
              <w:rPr>
                <w:rFonts w:ascii="Arial Narrow" w:hAnsi="Arial Narrow"/>
                <w:b/>
                <w:sz w:val="20"/>
                <w:szCs w:val="20"/>
              </w:rPr>
            </w:pPr>
            <w:r>
              <w:rPr>
                <w:rFonts w:ascii="Arial Narrow" w:hAnsi="Arial Narrow"/>
                <w:b/>
                <w:sz w:val="20"/>
                <w:szCs w:val="20"/>
              </w:rPr>
              <w:t>Senior Seminar Final Portfolio</w:t>
            </w:r>
          </w:p>
        </w:tc>
        <w:tc>
          <w:tcPr>
            <w:tcW w:w="1350" w:type="dxa"/>
            <w:tcBorders>
              <w:bottom w:val="single" w:sz="4" w:space="0" w:color="auto"/>
            </w:tcBorders>
          </w:tcPr>
          <w:p w14:paraId="33107FD1" w14:textId="6F1B9C07" w:rsidR="00B9457C" w:rsidRPr="00A04E46" w:rsidRDefault="00BF3352" w:rsidP="009F5490">
            <w:pPr>
              <w:rPr>
                <w:rFonts w:ascii="Arial Narrow" w:hAnsi="Arial Narrow"/>
                <w:b/>
                <w:sz w:val="20"/>
                <w:szCs w:val="20"/>
              </w:rPr>
            </w:pPr>
            <w:r w:rsidRPr="007438CF">
              <w:rPr>
                <w:rFonts w:cs="Times New Roman"/>
                <w:sz w:val="18"/>
                <w:szCs w:val="18"/>
              </w:rPr>
              <w:t xml:space="preserve">80% of student portfolio work sample sections will earn </w:t>
            </w:r>
            <w:r>
              <w:rPr>
                <w:rFonts w:cs="Times New Roman"/>
                <w:sz w:val="18"/>
                <w:szCs w:val="18"/>
              </w:rPr>
              <w:t>a score of at least 3 out of 4 on the rubric</w:t>
            </w:r>
          </w:p>
        </w:tc>
        <w:tc>
          <w:tcPr>
            <w:tcW w:w="2070" w:type="dxa"/>
            <w:tcBorders>
              <w:bottom w:val="single" w:sz="4" w:space="0" w:color="auto"/>
            </w:tcBorders>
          </w:tcPr>
          <w:p w14:paraId="1B043D75" w14:textId="77777777" w:rsidR="00B9457C" w:rsidRDefault="00B9457C" w:rsidP="009F5490">
            <w:pPr>
              <w:rPr>
                <w:rFonts w:ascii="Arial Narrow" w:hAnsi="Arial Narrow"/>
                <w:b/>
                <w:sz w:val="20"/>
                <w:szCs w:val="20"/>
              </w:rPr>
            </w:pPr>
          </w:p>
        </w:tc>
      </w:tr>
    </w:tbl>
    <w:p w14:paraId="3C8837AC" w14:textId="77777777" w:rsidR="00B9457C" w:rsidRDefault="00B9457C">
      <w:pPr>
        <w:rPr>
          <w:rFonts w:cs="Times New Roman"/>
          <w:sz w:val="20"/>
          <w:szCs w:val="20"/>
        </w:rPr>
      </w:pPr>
    </w:p>
    <w:p w14:paraId="50CC873E" w14:textId="77777777" w:rsidR="00B9457C" w:rsidRDefault="00B9457C">
      <w:pPr>
        <w:rPr>
          <w:rFonts w:cs="Times New Roman"/>
          <w:sz w:val="20"/>
          <w:szCs w:val="20"/>
        </w:rPr>
      </w:pPr>
    </w:p>
    <w:p w14:paraId="516D337C" w14:textId="4A6779F5" w:rsidR="00B9457C" w:rsidRDefault="00B9457C">
      <w:pPr>
        <w:rPr>
          <w:rFonts w:cs="Times New Roman"/>
          <w:sz w:val="20"/>
          <w:szCs w:val="20"/>
        </w:rPr>
      </w:pPr>
      <w:r>
        <w:rPr>
          <w:rFonts w:cs="Times New Roman"/>
          <w:sz w:val="20"/>
          <w:szCs w:val="20"/>
        </w:rPr>
        <w:t xml:space="preserve">Undergraduate Learning Outcomes (for CWEO association column): </w:t>
      </w:r>
    </w:p>
    <w:p w14:paraId="0A15AFFF" w14:textId="77777777" w:rsidR="00B9457C" w:rsidRPr="00B9457C" w:rsidRDefault="00B9457C" w:rsidP="00B9457C">
      <w:pPr>
        <w:rPr>
          <w:rFonts w:cs="Times New Roman"/>
          <w:sz w:val="20"/>
          <w:szCs w:val="20"/>
        </w:rPr>
      </w:pPr>
      <w:r w:rsidRPr="00B9457C">
        <w:rPr>
          <w:rFonts w:cs="Times New Roman"/>
          <w:sz w:val="20"/>
          <w:szCs w:val="20"/>
        </w:rPr>
        <w:t xml:space="preserve">1. </w:t>
      </w:r>
      <w:r w:rsidRPr="00B9457C">
        <w:rPr>
          <w:rFonts w:cs="Times New Roman"/>
          <w:sz w:val="20"/>
          <w:szCs w:val="20"/>
          <w:u w:val="single"/>
        </w:rPr>
        <w:t>Foundations for Learning</w:t>
      </w:r>
      <w:r w:rsidRPr="00B9457C">
        <w:rPr>
          <w:rFonts w:cs="Times New Roman"/>
          <w:sz w:val="20"/>
          <w:szCs w:val="20"/>
        </w:rPr>
        <w:t>: Students will develop skills common to the liberal arts and sciences: research, analysis, reflection, and communication</w:t>
      </w:r>
    </w:p>
    <w:p w14:paraId="7D0D7817" w14:textId="77777777" w:rsidR="00B9457C" w:rsidRPr="00B9457C" w:rsidRDefault="00B9457C" w:rsidP="00B9457C">
      <w:pPr>
        <w:rPr>
          <w:rFonts w:cs="Times New Roman"/>
          <w:sz w:val="20"/>
          <w:szCs w:val="20"/>
        </w:rPr>
      </w:pPr>
      <w:r w:rsidRPr="001076CB">
        <w:rPr>
          <w:rFonts w:cs="Times New Roman"/>
          <w:sz w:val="20"/>
          <w:szCs w:val="20"/>
        </w:rPr>
        <w:t xml:space="preserve">2. </w:t>
      </w:r>
      <w:r w:rsidRPr="001076CB">
        <w:rPr>
          <w:rFonts w:cs="Times New Roman"/>
          <w:sz w:val="20"/>
          <w:szCs w:val="20"/>
          <w:u w:val="single"/>
        </w:rPr>
        <w:t>Breadth and Depth of Knowledge</w:t>
      </w:r>
      <w:r w:rsidRPr="001076CB">
        <w:rPr>
          <w:rFonts w:cs="Times New Roman"/>
          <w:sz w:val="20"/>
          <w:szCs w:val="20"/>
        </w:rPr>
        <w:t>: Students will develop knowledge common to the liberal arts and sciences in the fields of arts, humanities, natural sciences, and social sciences. Students will also develop specialized knowledge and disciplinary expertise</w:t>
      </w:r>
    </w:p>
    <w:p w14:paraId="08C4FBE0" w14:textId="77777777" w:rsidR="00B9457C" w:rsidRPr="00B9457C" w:rsidRDefault="00B9457C" w:rsidP="00B9457C">
      <w:pPr>
        <w:rPr>
          <w:rFonts w:cs="Times New Roman"/>
          <w:sz w:val="20"/>
          <w:szCs w:val="20"/>
        </w:rPr>
      </w:pPr>
      <w:r w:rsidRPr="00B9457C">
        <w:rPr>
          <w:rFonts w:cs="Times New Roman"/>
          <w:sz w:val="20"/>
          <w:szCs w:val="20"/>
        </w:rPr>
        <w:t xml:space="preserve">3. </w:t>
      </w:r>
      <w:r w:rsidRPr="00B9457C">
        <w:rPr>
          <w:rFonts w:cs="Times New Roman"/>
          <w:sz w:val="20"/>
          <w:szCs w:val="20"/>
          <w:u w:val="single"/>
        </w:rPr>
        <w:t>Faith Knowledge &amp; Application</w:t>
      </w:r>
      <w:r w:rsidRPr="00B9457C">
        <w:rPr>
          <w:rFonts w:cs="Times New Roman"/>
          <w:sz w:val="20"/>
          <w:szCs w:val="20"/>
        </w:rPr>
        <w:t>: Students will develop informed and mature convictions about Christian faith and practice</w:t>
      </w:r>
    </w:p>
    <w:p w14:paraId="07FF7B0C" w14:textId="77777777" w:rsidR="00B9457C" w:rsidRPr="00B9457C" w:rsidRDefault="00B9457C" w:rsidP="00B9457C">
      <w:pPr>
        <w:rPr>
          <w:rFonts w:cs="Times New Roman"/>
          <w:sz w:val="20"/>
          <w:szCs w:val="20"/>
        </w:rPr>
      </w:pPr>
      <w:r w:rsidRPr="00B9457C">
        <w:rPr>
          <w:rFonts w:cs="Times New Roman"/>
          <w:sz w:val="20"/>
          <w:szCs w:val="20"/>
          <w:highlight w:val="yellow"/>
        </w:rPr>
        <w:t xml:space="preserve">4. </w:t>
      </w:r>
      <w:r w:rsidRPr="00B9457C">
        <w:rPr>
          <w:rFonts w:cs="Times New Roman"/>
          <w:sz w:val="20"/>
          <w:szCs w:val="20"/>
          <w:highlight w:val="yellow"/>
          <w:u w:val="single"/>
        </w:rPr>
        <w:t>Specialized Skills &amp; Scholarship</w:t>
      </w:r>
      <w:r w:rsidRPr="00B9457C">
        <w:rPr>
          <w:rFonts w:cs="Times New Roman"/>
          <w:sz w:val="20"/>
          <w:szCs w:val="20"/>
          <w:highlight w:val="yellow"/>
        </w:rPr>
        <w:t>: Students will become proficient in the scholarship of their discipline and demonstrate specialized skills needed to pursue a career and/or graduate school</w:t>
      </w:r>
    </w:p>
    <w:p w14:paraId="6F203773" w14:textId="77777777" w:rsidR="00B9457C" w:rsidRPr="00B9457C" w:rsidRDefault="00B9457C" w:rsidP="00B9457C">
      <w:pPr>
        <w:rPr>
          <w:rFonts w:cs="Times New Roman"/>
          <w:sz w:val="20"/>
          <w:szCs w:val="20"/>
        </w:rPr>
      </w:pPr>
      <w:r w:rsidRPr="00B9457C">
        <w:rPr>
          <w:rFonts w:cs="Times New Roman"/>
          <w:sz w:val="20"/>
          <w:szCs w:val="20"/>
        </w:rPr>
        <w:t xml:space="preserve">5. </w:t>
      </w:r>
      <w:r w:rsidRPr="00B9457C">
        <w:rPr>
          <w:rFonts w:cs="Times New Roman"/>
          <w:sz w:val="20"/>
          <w:szCs w:val="20"/>
          <w:u w:val="single"/>
        </w:rPr>
        <w:t>Self-Awareness</w:t>
      </w:r>
      <w:r w:rsidRPr="00B9457C">
        <w:rPr>
          <w:rFonts w:cs="Times New Roman"/>
          <w:sz w:val="20"/>
          <w:szCs w:val="20"/>
        </w:rPr>
        <w:t>: Students will gain awareness of identity, character, and vocational calling</w:t>
      </w:r>
    </w:p>
    <w:p w14:paraId="41FC2A8B" w14:textId="77777777" w:rsidR="00B9457C" w:rsidRPr="00B9457C" w:rsidRDefault="00B9457C" w:rsidP="00B9457C">
      <w:pPr>
        <w:rPr>
          <w:rFonts w:cs="Times New Roman"/>
          <w:sz w:val="20"/>
          <w:szCs w:val="20"/>
        </w:rPr>
      </w:pPr>
      <w:r w:rsidRPr="00B9457C">
        <w:rPr>
          <w:rFonts w:cs="Times New Roman"/>
          <w:sz w:val="20"/>
          <w:szCs w:val="20"/>
        </w:rPr>
        <w:t xml:space="preserve">6. </w:t>
      </w:r>
      <w:r w:rsidRPr="00B9457C">
        <w:rPr>
          <w:rFonts w:cs="Times New Roman"/>
          <w:sz w:val="20"/>
          <w:szCs w:val="20"/>
          <w:u w:val="single"/>
        </w:rPr>
        <w:t>Social Responsibility</w:t>
      </w:r>
      <w:r w:rsidRPr="00B9457C">
        <w:rPr>
          <w:rFonts w:cs="Times New Roman"/>
          <w:sz w:val="20"/>
          <w:szCs w:val="20"/>
        </w:rPr>
        <w:t>: Students will demonstrate a commitment to service, reconciliation, and justice, and lead effectively and ethically within the complexities of an increasingly diverse and interdependent world</w:t>
      </w:r>
    </w:p>
    <w:p w14:paraId="4734A9EB" w14:textId="77777777" w:rsidR="00B9457C" w:rsidRPr="00436324" w:rsidRDefault="00B9457C">
      <w:pPr>
        <w:rPr>
          <w:rFonts w:cs="Times New Roman"/>
          <w:sz w:val="20"/>
          <w:szCs w:val="20"/>
        </w:rPr>
      </w:pPr>
    </w:p>
    <w:sectPr w:rsidR="00B9457C" w:rsidRPr="00436324" w:rsidSect="00CA4F00">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629CE"/>
    <w:multiLevelType w:val="hybridMultilevel"/>
    <w:tmpl w:val="902EC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06F16"/>
    <w:rsid w:val="000A2E98"/>
    <w:rsid w:val="000A45E2"/>
    <w:rsid w:val="000C0699"/>
    <w:rsid w:val="001076CB"/>
    <w:rsid w:val="001648FD"/>
    <w:rsid w:val="00181975"/>
    <w:rsid w:val="001C4EE2"/>
    <w:rsid w:val="00313044"/>
    <w:rsid w:val="00371046"/>
    <w:rsid w:val="00416E22"/>
    <w:rsid w:val="00436324"/>
    <w:rsid w:val="00496CFF"/>
    <w:rsid w:val="004A2594"/>
    <w:rsid w:val="004A515A"/>
    <w:rsid w:val="004C7628"/>
    <w:rsid w:val="00590271"/>
    <w:rsid w:val="005C6170"/>
    <w:rsid w:val="0062728A"/>
    <w:rsid w:val="00640C32"/>
    <w:rsid w:val="006A078C"/>
    <w:rsid w:val="006F395A"/>
    <w:rsid w:val="00704264"/>
    <w:rsid w:val="008877AE"/>
    <w:rsid w:val="008B28A4"/>
    <w:rsid w:val="008B7248"/>
    <w:rsid w:val="008C3091"/>
    <w:rsid w:val="008C585E"/>
    <w:rsid w:val="00914D96"/>
    <w:rsid w:val="009464D9"/>
    <w:rsid w:val="009F5490"/>
    <w:rsid w:val="00A00146"/>
    <w:rsid w:val="00A54AB1"/>
    <w:rsid w:val="00A96FE8"/>
    <w:rsid w:val="00AE4E13"/>
    <w:rsid w:val="00B3447D"/>
    <w:rsid w:val="00B71460"/>
    <w:rsid w:val="00B9457C"/>
    <w:rsid w:val="00B9639A"/>
    <w:rsid w:val="00BC180A"/>
    <w:rsid w:val="00BC7BA7"/>
    <w:rsid w:val="00BD63B1"/>
    <w:rsid w:val="00BF3352"/>
    <w:rsid w:val="00BF3DAF"/>
    <w:rsid w:val="00C2721B"/>
    <w:rsid w:val="00C678A1"/>
    <w:rsid w:val="00CA4F00"/>
    <w:rsid w:val="00CC545E"/>
    <w:rsid w:val="00CF444A"/>
    <w:rsid w:val="00D4684F"/>
    <w:rsid w:val="00DE51F8"/>
    <w:rsid w:val="00DE6D8A"/>
    <w:rsid w:val="00E55860"/>
    <w:rsid w:val="00F03BE5"/>
    <w:rsid w:val="00F43CBC"/>
    <w:rsid w:val="00F441FA"/>
    <w:rsid w:val="00F7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D3D5"/>
  <w15:docId w15:val="{332DE041-D331-480E-BC06-CC41114A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 w:type="paragraph" w:styleId="ListParagraph">
    <w:name w:val="List Paragraph"/>
    <w:basedOn w:val="Normal"/>
    <w:uiPriority w:val="34"/>
    <w:qFormat/>
    <w:rsid w:val="00BF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5165">
      <w:bodyDiv w:val="1"/>
      <w:marLeft w:val="0"/>
      <w:marRight w:val="0"/>
      <w:marTop w:val="0"/>
      <w:marBottom w:val="0"/>
      <w:divBdr>
        <w:top w:val="none" w:sz="0" w:space="0" w:color="auto"/>
        <w:left w:val="none" w:sz="0" w:space="0" w:color="auto"/>
        <w:bottom w:val="none" w:sz="0" w:space="0" w:color="auto"/>
        <w:right w:val="none" w:sz="0" w:space="0" w:color="auto"/>
      </w:divBdr>
    </w:div>
    <w:div w:id="171456222">
      <w:bodyDiv w:val="1"/>
      <w:marLeft w:val="0"/>
      <w:marRight w:val="0"/>
      <w:marTop w:val="0"/>
      <w:marBottom w:val="0"/>
      <w:divBdr>
        <w:top w:val="none" w:sz="0" w:space="0" w:color="auto"/>
        <w:left w:val="none" w:sz="0" w:space="0" w:color="auto"/>
        <w:bottom w:val="none" w:sz="0" w:space="0" w:color="auto"/>
        <w:right w:val="none" w:sz="0" w:space="0" w:color="auto"/>
      </w:divBdr>
    </w:div>
    <w:div w:id="443813702">
      <w:bodyDiv w:val="1"/>
      <w:marLeft w:val="0"/>
      <w:marRight w:val="0"/>
      <w:marTop w:val="0"/>
      <w:marBottom w:val="0"/>
      <w:divBdr>
        <w:top w:val="none" w:sz="0" w:space="0" w:color="auto"/>
        <w:left w:val="none" w:sz="0" w:space="0" w:color="auto"/>
        <w:bottom w:val="none" w:sz="0" w:space="0" w:color="auto"/>
        <w:right w:val="none" w:sz="0" w:space="0" w:color="auto"/>
      </w:divBdr>
    </w:div>
    <w:div w:id="923413025">
      <w:bodyDiv w:val="1"/>
      <w:marLeft w:val="0"/>
      <w:marRight w:val="0"/>
      <w:marTop w:val="0"/>
      <w:marBottom w:val="0"/>
      <w:divBdr>
        <w:top w:val="none" w:sz="0" w:space="0" w:color="auto"/>
        <w:left w:val="none" w:sz="0" w:space="0" w:color="auto"/>
        <w:bottom w:val="none" w:sz="0" w:space="0" w:color="auto"/>
        <w:right w:val="none" w:sz="0" w:space="0" w:color="auto"/>
      </w:divBdr>
    </w:div>
    <w:div w:id="20453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20DB-CEB3-4284-BF06-F92FE74C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McCown, Nance</cp:lastModifiedBy>
  <cp:revision>2</cp:revision>
  <dcterms:created xsi:type="dcterms:W3CDTF">2018-02-06T15:34:00Z</dcterms:created>
  <dcterms:modified xsi:type="dcterms:W3CDTF">2018-02-06T15:34:00Z</dcterms:modified>
</cp:coreProperties>
</file>